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B86A50" w:rsidP="008A7B49">
      <w:pPr>
        <w:pStyle w:val="Titolo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7E6275" wp14:editId="75FBD752">
            <wp:extent cx="2066925" cy="83820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>
        <w:rPr>
          <w:rFonts w:ascii="Garamond" w:hAnsi="Garamond"/>
          <w:sz w:val="26"/>
          <w:szCs w:val="26"/>
        </w:rPr>
        <w:t>i 5</w:t>
      </w:r>
      <w:r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>
        <w:rPr>
          <w:rFonts w:ascii="Garamond" w:hAnsi="Garamond"/>
          <w:szCs w:val="22"/>
        </w:rPr>
        <w:t>....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7416D" w:rsidRPr="00BB5196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>
        <w:rPr>
          <w:rFonts w:ascii="Garamond" w:hAnsi="Garamond"/>
          <w:szCs w:val="22"/>
        </w:rPr>
        <w:t>)</w:t>
      </w:r>
    </w:p>
    <w:p w:rsidR="00B7416D" w:rsidRPr="008A210A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A31018" w:rsidRDefault="007E3320" w:rsidP="007917F0">
      <w:pPr>
        <w:pStyle w:val="Corpotes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szCs w:val="22"/>
        </w:rPr>
        <w:t xml:space="preserve">presa visione dell’avviso prot. </w:t>
      </w:r>
      <w:r w:rsidR="00887BA1">
        <w:rPr>
          <w:rFonts w:ascii="Garamond" w:hAnsi="Garamond"/>
          <w:szCs w:val="22"/>
        </w:rPr>
        <w:t>28968</w:t>
      </w:r>
      <w:r>
        <w:rPr>
          <w:rFonts w:ascii="Garamond" w:hAnsi="Garamond"/>
          <w:szCs w:val="22"/>
        </w:rPr>
        <w:t xml:space="preserve"> / 202</w:t>
      </w:r>
      <w:r w:rsidR="002F0B06">
        <w:rPr>
          <w:rFonts w:ascii="Garamond" w:hAnsi="Garamond"/>
          <w:szCs w:val="22"/>
        </w:rPr>
        <w:t>1</w:t>
      </w:r>
      <w:r>
        <w:rPr>
          <w:rFonts w:ascii="Garamond" w:hAnsi="Garamond"/>
          <w:szCs w:val="22"/>
        </w:rPr>
        <w:t xml:space="preserve">, presenta la propria manifestazione di interesse </w:t>
      </w:r>
      <w:r w:rsidR="007917F0">
        <w:rPr>
          <w:rFonts w:ascii="Garamond" w:hAnsi="Garamond"/>
          <w:szCs w:val="22"/>
        </w:rPr>
        <w:t>per la  posizione relativa all’</w:t>
      </w:r>
      <w:r w:rsidR="007917F0">
        <w:rPr>
          <w:rFonts w:ascii="Garamond" w:hAnsi="Garamond"/>
          <w:b/>
          <w:szCs w:val="22"/>
        </w:rPr>
        <w:t xml:space="preserve">Ufficio delle Dogane di </w:t>
      </w:r>
      <w:r w:rsidR="002F0B06">
        <w:rPr>
          <w:rFonts w:ascii="Garamond" w:hAnsi="Garamond"/>
          <w:b/>
          <w:szCs w:val="22"/>
        </w:rPr>
        <w:t>Vicenza</w:t>
      </w:r>
      <w:r w:rsidR="007917F0">
        <w:rPr>
          <w:rFonts w:ascii="Garamond" w:hAnsi="Garamond"/>
          <w:szCs w:val="22"/>
        </w:rPr>
        <w:t xml:space="preserve">, </w:t>
      </w:r>
      <w:r w:rsidRPr="007917F0">
        <w:rPr>
          <w:rFonts w:ascii="Garamond" w:hAnsi="Garamond"/>
          <w:szCs w:val="22"/>
        </w:rPr>
        <w:t>a</w:t>
      </w:r>
      <w:r>
        <w:rPr>
          <w:rFonts w:ascii="Garamond" w:hAnsi="Garamond"/>
          <w:szCs w:val="22"/>
        </w:rPr>
        <w:t xml:space="preserve"> tal fine, consapevole che chiunque rilasci dichiarazioni men</w:t>
      </w:r>
      <w:bookmarkStart w:id="0" w:name="_GoBack"/>
      <w:bookmarkEnd w:id="0"/>
      <w:r>
        <w:rPr>
          <w:rFonts w:ascii="Garamond" w:hAnsi="Garamond"/>
          <w:szCs w:val="22"/>
        </w:rPr>
        <w:t>daci è punito ai sensi del codice penale e delle leggi speciali in materia,</w:t>
      </w:r>
      <w:r w:rsidR="007917F0">
        <w:rPr>
          <w:rFonts w:ascii="Garamond" w:hAnsi="Garamond"/>
          <w:szCs w:val="22"/>
        </w:rPr>
        <w:t xml:space="preserve"> </w:t>
      </w: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del D. Lgs.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primo periodo, del regolamento recante codice di comportamento dei dipendenti pubblici, a norma dell’articolo 54 del D. Lgs.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 xml:space="preserve">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Agenzie fiscali, a norma dell’art. 71, comma 2, del D.Lgs.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nato / a a_______________________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887BA1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887BA1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B7416D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887BA1">
      <w:rPr>
        <w:rFonts w:ascii="Garamond" w:hAnsi="Garamond" w:cs="Arial"/>
        <w:b/>
        <w:sz w:val="22"/>
        <w:szCs w:val="22"/>
      </w:rPr>
      <w:t xml:space="preserve">28968 </w:t>
    </w:r>
    <w:r w:rsidR="005F15C3">
      <w:rPr>
        <w:rFonts w:ascii="Garamond" w:hAnsi="Garamond" w:cs="Arial"/>
        <w:b/>
        <w:sz w:val="22"/>
        <w:szCs w:val="22"/>
      </w:rPr>
      <w:t>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</w:t>
    </w:r>
    <w:r w:rsidR="002F0B06">
      <w:rPr>
        <w:rFonts w:ascii="Garamond" w:hAnsi="Garamond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2332"/>
    <w:rsid w:val="000D62A2"/>
    <w:rsid w:val="000D7E96"/>
    <w:rsid w:val="000E347C"/>
    <w:rsid w:val="000F03A8"/>
    <w:rsid w:val="0011166C"/>
    <w:rsid w:val="0011231D"/>
    <w:rsid w:val="001601D1"/>
    <w:rsid w:val="001729FC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D011A"/>
    <w:rsid w:val="002F0B06"/>
    <w:rsid w:val="002F4CE6"/>
    <w:rsid w:val="003003EF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143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A3ACC"/>
    <w:rsid w:val="005D7C92"/>
    <w:rsid w:val="005E3708"/>
    <w:rsid w:val="005F15C3"/>
    <w:rsid w:val="005F7549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93F"/>
    <w:rsid w:val="00693EFF"/>
    <w:rsid w:val="00697347"/>
    <w:rsid w:val="006C6D2B"/>
    <w:rsid w:val="006D579B"/>
    <w:rsid w:val="006E7A9A"/>
    <w:rsid w:val="006F0151"/>
    <w:rsid w:val="0071180D"/>
    <w:rsid w:val="0074061D"/>
    <w:rsid w:val="007474BC"/>
    <w:rsid w:val="0076078D"/>
    <w:rsid w:val="007917F0"/>
    <w:rsid w:val="007C54FC"/>
    <w:rsid w:val="007D2436"/>
    <w:rsid w:val="007D3975"/>
    <w:rsid w:val="007E3320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87BA1"/>
    <w:rsid w:val="008A6A61"/>
    <w:rsid w:val="008A7B49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710CE"/>
    <w:rsid w:val="00A96B4E"/>
    <w:rsid w:val="00AA0932"/>
    <w:rsid w:val="00AB216B"/>
    <w:rsid w:val="00AB5913"/>
    <w:rsid w:val="00AD0FE9"/>
    <w:rsid w:val="00AD26FF"/>
    <w:rsid w:val="00B14862"/>
    <w:rsid w:val="00B414A5"/>
    <w:rsid w:val="00B6575F"/>
    <w:rsid w:val="00B72829"/>
    <w:rsid w:val="00B73C4C"/>
    <w:rsid w:val="00B7416D"/>
    <w:rsid w:val="00B83D2E"/>
    <w:rsid w:val="00B86A50"/>
    <w:rsid w:val="00B92B1B"/>
    <w:rsid w:val="00B96098"/>
    <w:rsid w:val="00BC5B57"/>
    <w:rsid w:val="00BE5F81"/>
    <w:rsid w:val="00C04748"/>
    <w:rsid w:val="00C059B6"/>
    <w:rsid w:val="00C304D5"/>
    <w:rsid w:val="00C430A6"/>
    <w:rsid w:val="00C66642"/>
    <w:rsid w:val="00C70D57"/>
    <w:rsid w:val="00C86C7E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81BAF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956A0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C0B1-B5DE-4FCA-8D95-26D4902A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12</TotalTime>
  <Pages>3</Pages>
  <Words>502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4040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19</cp:revision>
  <cp:lastPrinted>2021-01-27T09:23:00Z</cp:lastPrinted>
  <dcterms:created xsi:type="dcterms:W3CDTF">2020-09-29T13:05:00Z</dcterms:created>
  <dcterms:modified xsi:type="dcterms:W3CDTF">2021-01-27T09:23:00Z</dcterms:modified>
</cp:coreProperties>
</file>