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287" w:rsidRDefault="00921287">
      <w:pPr>
        <w:spacing w:before="9"/>
        <w:rPr>
          <w:rFonts w:ascii="Times New Roman" w:eastAsia="Times New Roman" w:hAnsi="Times New Roman" w:cs="Times New Roman"/>
          <w:sz w:val="7"/>
          <w:szCs w:val="7"/>
        </w:rPr>
      </w:pPr>
    </w:p>
    <w:p w:rsidR="00921287" w:rsidRDefault="00921287" w:rsidP="00D25ED3">
      <w:pPr>
        <w:spacing w:line="200" w:lineRule="atLeast"/>
        <w:rPr>
          <w:rFonts w:ascii="Times New Roman" w:eastAsia="Times New Roman" w:hAnsi="Times New Roman" w:cs="Times New Roman"/>
          <w:sz w:val="20"/>
          <w:szCs w:val="20"/>
        </w:rPr>
      </w:pPr>
    </w:p>
    <w:p w:rsidR="00921287" w:rsidRPr="00C65567" w:rsidRDefault="00921287" w:rsidP="00B91D36">
      <w:pPr>
        <w:spacing w:before="8"/>
        <w:ind w:left="284" w:hanging="284"/>
        <w:rPr>
          <w:rFonts w:ascii="Garamond" w:eastAsia="Garamond" w:hAnsi="Garamond" w:cs="Garamond"/>
          <w:b/>
          <w:bCs/>
          <w:sz w:val="28"/>
          <w:szCs w:val="28"/>
          <w:lang w:val="it-IT"/>
        </w:rPr>
      </w:pPr>
    </w:p>
    <w:p w:rsidR="007320E5" w:rsidRDefault="007320E5" w:rsidP="007320E5">
      <w:pPr>
        <w:widowControl/>
        <w:rPr>
          <w:rFonts w:ascii="Garamond" w:eastAsia="Garamond" w:hAnsi="Garamond" w:cs="Garamond"/>
          <w:b/>
          <w:bCs/>
          <w:sz w:val="28"/>
          <w:szCs w:val="28"/>
          <w:lang w:val="it-IT"/>
        </w:rPr>
      </w:pPr>
      <w:bookmarkStart w:id="0" w:name="_GoBack"/>
      <w:bookmarkEnd w:id="0"/>
    </w:p>
    <w:p w:rsidR="007320E5" w:rsidRPr="00EE31F7" w:rsidRDefault="007320E5" w:rsidP="007320E5">
      <w:pPr>
        <w:widowControl/>
        <w:ind w:left="426"/>
        <w:rPr>
          <w:rFonts w:ascii="Garamond" w:eastAsia="Calibri" w:hAnsi="Garamond" w:cs="Arial"/>
          <w:b/>
          <w:smallCaps/>
          <w:color w:val="002492"/>
          <w:sz w:val="16"/>
          <w:szCs w:val="16"/>
          <w:lang w:val="it-IT"/>
        </w:rPr>
      </w:pPr>
    </w:p>
    <w:p w:rsidR="005524C7" w:rsidRPr="005524C7" w:rsidRDefault="005524C7" w:rsidP="007320E5">
      <w:pPr>
        <w:widowControl/>
        <w:ind w:left="426"/>
        <w:rPr>
          <w:rFonts w:ascii="Garamond" w:eastAsia="Calibri" w:hAnsi="Garamond" w:cs="Arial"/>
          <w:b/>
          <w:smallCaps/>
          <w:color w:val="002492"/>
          <w:sz w:val="24"/>
          <w:szCs w:val="24"/>
          <w:lang w:val="it-IT"/>
        </w:rPr>
      </w:pPr>
      <w:r w:rsidRPr="005524C7">
        <w:rPr>
          <w:rFonts w:ascii="Garamond" w:eastAsia="Calibri" w:hAnsi="Garamond" w:cs="Arial"/>
          <w:b/>
          <w:smallCaps/>
          <w:color w:val="002492"/>
          <w:sz w:val="24"/>
          <w:szCs w:val="24"/>
          <w:lang w:val="it-IT"/>
        </w:rPr>
        <w:t>Direzione Generale</w:t>
      </w:r>
    </w:p>
    <w:p w:rsidR="00442C68" w:rsidRDefault="00442C68" w:rsidP="00C65567">
      <w:pPr>
        <w:tabs>
          <w:tab w:val="left" w:pos="0"/>
        </w:tabs>
        <w:spacing w:before="8"/>
        <w:rPr>
          <w:rFonts w:ascii="Garamond" w:eastAsia="Garamond" w:hAnsi="Garamond" w:cs="Garamond"/>
          <w:b/>
          <w:bCs/>
          <w:sz w:val="28"/>
          <w:szCs w:val="28"/>
          <w:lang w:val="it-IT"/>
        </w:rPr>
      </w:pPr>
    </w:p>
    <w:p w:rsidR="00442C68" w:rsidRPr="00C65567" w:rsidRDefault="00442C68" w:rsidP="00C65567">
      <w:pPr>
        <w:tabs>
          <w:tab w:val="left" w:pos="0"/>
        </w:tabs>
        <w:spacing w:before="8"/>
        <w:rPr>
          <w:rFonts w:ascii="Garamond" w:eastAsia="Garamond" w:hAnsi="Garamond" w:cs="Garamond"/>
          <w:b/>
          <w:bCs/>
          <w:sz w:val="28"/>
          <w:szCs w:val="28"/>
          <w:lang w:val="it-IT"/>
        </w:rPr>
      </w:pPr>
    </w:p>
    <w:p w:rsidR="00921287" w:rsidRPr="009F3430" w:rsidRDefault="00C35929" w:rsidP="0076391B">
      <w:pPr>
        <w:spacing w:before="60" w:after="60"/>
        <w:ind w:right="839"/>
        <w:jc w:val="center"/>
        <w:rPr>
          <w:rFonts w:ascii="Garamond" w:eastAsia="Garamond" w:hAnsi="Garamond" w:cs="Garamond"/>
          <w:sz w:val="28"/>
          <w:szCs w:val="28"/>
          <w:lang w:val="it-IT"/>
        </w:rPr>
      </w:pPr>
      <w:r w:rsidRPr="009F3430">
        <w:rPr>
          <w:rFonts w:ascii="Garamond" w:hAnsi="Garamond"/>
          <w:b/>
          <w:color w:val="2E5395"/>
          <w:sz w:val="28"/>
          <w:szCs w:val="28"/>
          <w:lang w:val="it-IT"/>
        </w:rPr>
        <w:t>ADM</w:t>
      </w:r>
      <w:r w:rsidRPr="009F3430">
        <w:rPr>
          <w:rFonts w:ascii="Garamond" w:hAnsi="Garamond"/>
          <w:b/>
          <w:color w:val="2E5395"/>
          <w:spacing w:val="-16"/>
          <w:sz w:val="28"/>
          <w:szCs w:val="28"/>
          <w:lang w:val="it-IT"/>
        </w:rPr>
        <w:t xml:space="preserve"> </w:t>
      </w:r>
      <w:r w:rsidRPr="009F3430">
        <w:rPr>
          <w:rFonts w:ascii="Garamond" w:hAnsi="Garamond"/>
          <w:b/>
          <w:color w:val="2E5395"/>
          <w:sz w:val="28"/>
          <w:szCs w:val="28"/>
          <w:lang w:val="it-IT"/>
        </w:rPr>
        <w:t>OPEN</w:t>
      </w:r>
      <w:r w:rsidRPr="009F3430">
        <w:rPr>
          <w:rFonts w:ascii="Garamond" w:hAnsi="Garamond"/>
          <w:b/>
          <w:color w:val="2E5395"/>
          <w:spacing w:val="-11"/>
          <w:sz w:val="28"/>
          <w:szCs w:val="28"/>
          <w:lang w:val="it-IT"/>
        </w:rPr>
        <w:t xml:space="preserve"> </w:t>
      </w:r>
      <w:r w:rsidRPr="009F3430">
        <w:rPr>
          <w:rFonts w:ascii="Garamond" w:hAnsi="Garamond"/>
          <w:b/>
          <w:color w:val="2E5395"/>
          <w:spacing w:val="-1"/>
          <w:sz w:val="28"/>
          <w:szCs w:val="28"/>
          <w:lang w:val="it-IT"/>
        </w:rPr>
        <w:t>HEARING</w:t>
      </w:r>
    </w:p>
    <w:p w:rsidR="00921287" w:rsidRPr="00C65567" w:rsidRDefault="00C51D19" w:rsidP="0076391B">
      <w:pPr>
        <w:spacing w:before="60" w:after="60"/>
        <w:ind w:right="839"/>
        <w:jc w:val="center"/>
        <w:rPr>
          <w:rFonts w:ascii="Garamond" w:eastAsia="Garamond" w:hAnsi="Garamond" w:cs="Garamond"/>
          <w:b/>
          <w:bCs/>
          <w:sz w:val="28"/>
          <w:szCs w:val="28"/>
          <w:lang w:val="it-IT"/>
        </w:rPr>
      </w:pPr>
      <w:r w:rsidRPr="00C65567">
        <w:rPr>
          <w:rFonts w:ascii="Garamond" w:eastAsia="Garamond" w:hAnsi="Garamond" w:cs="Garamond"/>
          <w:b/>
          <w:bCs/>
          <w:noProof/>
          <w:sz w:val="28"/>
          <w:szCs w:val="28"/>
          <w:lang w:val="it-IT" w:eastAsia="it-IT"/>
        </w:rPr>
        <mc:AlternateContent>
          <mc:Choice Requires="wpg">
            <w:drawing>
              <wp:anchor distT="0" distB="0" distL="114300" distR="114300" simplePos="0" relativeHeight="251658240" behindDoc="1" locked="0" layoutInCell="1" allowOverlap="1" wp14:anchorId="6EAA8016" wp14:editId="4909DE96">
                <wp:simplePos x="0" y="0"/>
                <wp:positionH relativeFrom="column">
                  <wp:posOffset>1174750</wp:posOffset>
                </wp:positionH>
                <wp:positionV relativeFrom="paragraph">
                  <wp:posOffset>109855</wp:posOffset>
                </wp:positionV>
                <wp:extent cx="4048125" cy="1270"/>
                <wp:effectExtent l="19050" t="14605" r="19050" b="1270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1270"/>
                          <a:chOff x="2730" y="1344"/>
                          <a:chExt cx="6375" cy="2"/>
                        </a:xfrm>
                      </wpg:grpSpPr>
                      <wps:wsp>
                        <wps:cNvPr id="3" name="Freeform 4"/>
                        <wps:cNvSpPr>
                          <a:spLocks/>
                        </wps:cNvSpPr>
                        <wps:spPr bwMode="auto">
                          <a:xfrm>
                            <a:off x="2730" y="1344"/>
                            <a:ext cx="6375" cy="2"/>
                          </a:xfrm>
                          <a:custGeom>
                            <a:avLst/>
                            <a:gdLst>
                              <a:gd name="T0" fmla="+- 0 2730 2730"/>
                              <a:gd name="T1" fmla="*/ T0 w 6375"/>
                              <a:gd name="T2" fmla="+- 0 9105 2730"/>
                              <a:gd name="T3" fmla="*/ T2 w 6375"/>
                            </a:gdLst>
                            <a:ahLst/>
                            <a:cxnLst>
                              <a:cxn ang="0">
                                <a:pos x="T1" y="0"/>
                              </a:cxn>
                              <a:cxn ang="0">
                                <a:pos x="T3" y="0"/>
                              </a:cxn>
                            </a:cxnLst>
                            <a:rect l="0" t="0" r="r" b="b"/>
                            <a:pathLst>
                              <a:path w="6375">
                                <a:moveTo>
                                  <a:pt x="0" y="0"/>
                                </a:moveTo>
                                <a:lnTo>
                                  <a:pt x="6375" y="0"/>
                                </a:lnTo>
                              </a:path>
                            </a:pathLst>
                          </a:custGeom>
                          <a:noFill/>
                          <a:ln w="254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F822175" id="Group 3" o:spid="_x0000_s1026" style="position:absolute;margin-left:92.5pt;margin-top:8.65pt;width:318.75pt;height:.1pt;z-index:-251658240" coordorigin="2730,1344" coordsize="6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">
                <v:shape id="Freeform 4" o:spid="_x0000_s1027" style="position:absolute;left:2730;top:1344;width:6375;height:2;visibility:visible;mso-wrap-style:square;v-text-anchor:top" coordsize="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" path="m,l6375,e" filled="f" strokecolor="#4471c4" strokeweight="2pt">
                  <v:path arrowok="t" o:connecttype="custom" o:connectlocs="0,0;6375,0" o:connectangles="0,0"/>
                </v:shape>
              </v:group>
            </w:pict>
          </mc:Fallback>
        </mc:AlternateContent>
      </w:r>
    </w:p>
    <w:p w:rsidR="0076391B" w:rsidRDefault="0076391B" w:rsidP="0076391B">
      <w:pPr>
        <w:tabs>
          <w:tab w:val="center" w:pos="4890"/>
          <w:tab w:val="left" w:pos="9498"/>
          <w:tab w:val="right" w:pos="9781"/>
        </w:tabs>
        <w:spacing w:before="160" w:after="60"/>
        <w:ind w:right="839"/>
        <w:jc w:val="center"/>
        <w:rPr>
          <w:rFonts w:ascii="Garamond" w:hAnsi="Garamond"/>
          <w:b/>
          <w:smallCaps/>
          <w:color w:val="2E5395"/>
          <w:sz w:val="28"/>
          <w:szCs w:val="28"/>
          <w:lang w:val="it-IT"/>
        </w:rPr>
      </w:pPr>
    </w:p>
    <w:p w:rsidR="0076391B" w:rsidRDefault="00D27795" w:rsidP="0076391B">
      <w:pPr>
        <w:tabs>
          <w:tab w:val="center" w:pos="4890"/>
          <w:tab w:val="left" w:pos="9498"/>
          <w:tab w:val="right" w:pos="9781"/>
        </w:tabs>
        <w:spacing w:before="160" w:after="60"/>
        <w:ind w:right="839"/>
        <w:jc w:val="center"/>
        <w:rPr>
          <w:rFonts w:ascii="Garamond" w:hAnsi="Garamond"/>
          <w:b/>
          <w:smallCaps/>
          <w:color w:val="2E5395"/>
          <w:sz w:val="28"/>
          <w:szCs w:val="28"/>
          <w:lang w:val="it-IT"/>
        </w:rPr>
      </w:pPr>
      <w:r>
        <w:rPr>
          <w:rFonts w:ascii="Garamond" w:hAnsi="Garamond"/>
          <w:b/>
          <w:smallCaps/>
          <w:color w:val="2E5395"/>
          <w:sz w:val="28"/>
          <w:szCs w:val="28"/>
          <w:lang w:val="it-IT"/>
        </w:rPr>
        <w:t>BIOCARBURANTI</w:t>
      </w:r>
    </w:p>
    <w:p w:rsidR="008A781B" w:rsidRPr="00D27795" w:rsidRDefault="0076391B" w:rsidP="0076391B">
      <w:pPr>
        <w:tabs>
          <w:tab w:val="center" w:pos="4890"/>
          <w:tab w:val="left" w:pos="9498"/>
          <w:tab w:val="right" w:pos="9781"/>
        </w:tabs>
        <w:spacing w:before="160" w:after="60"/>
        <w:ind w:right="839"/>
        <w:jc w:val="center"/>
        <w:rPr>
          <w:rFonts w:ascii="Garamond" w:hAnsi="Garamond"/>
          <w:b/>
          <w:smallCaps/>
          <w:color w:val="2E5395"/>
          <w:sz w:val="28"/>
          <w:szCs w:val="28"/>
          <w:lang w:val="it-IT"/>
        </w:rPr>
      </w:pPr>
      <w:r>
        <w:rPr>
          <w:rFonts w:ascii="Garamond" w:hAnsi="Garamond"/>
          <w:b/>
          <w:bCs/>
          <w:smallCaps/>
          <w:color w:val="2E5395"/>
          <w:sz w:val="28"/>
          <w:szCs w:val="28"/>
          <w:lang w:val="it-IT"/>
        </w:rPr>
        <w:t>Accertamento e contabilizzazione presso i depositi fiscali</w:t>
      </w:r>
    </w:p>
    <w:p w:rsidR="00921287" w:rsidRPr="00C65567" w:rsidRDefault="00921287" w:rsidP="0076391B">
      <w:pPr>
        <w:tabs>
          <w:tab w:val="center" w:pos="4890"/>
          <w:tab w:val="left" w:pos="9498"/>
          <w:tab w:val="right" w:pos="9781"/>
        </w:tabs>
        <w:spacing w:before="160" w:after="60"/>
        <w:ind w:right="839"/>
        <w:jc w:val="center"/>
        <w:rPr>
          <w:rFonts w:ascii="Garamond" w:eastAsia="Garamond" w:hAnsi="Garamond" w:cs="Garamond"/>
          <w:b/>
          <w:bCs/>
          <w:sz w:val="28"/>
          <w:szCs w:val="28"/>
          <w:lang w:val="it-IT"/>
        </w:rPr>
      </w:pPr>
    </w:p>
    <w:p w:rsidR="00921287" w:rsidRPr="007320E5" w:rsidRDefault="008A781B" w:rsidP="0076391B">
      <w:pPr>
        <w:ind w:right="839"/>
        <w:jc w:val="center"/>
        <w:rPr>
          <w:rFonts w:ascii="Garamond" w:eastAsia="Garamond" w:hAnsi="Garamond" w:cs="Garamond"/>
          <w:b/>
          <w:bCs/>
          <w:color w:val="244061" w:themeColor="accent1" w:themeShade="80"/>
          <w:sz w:val="26"/>
          <w:szCs w:val="26"/>
          <w:lang w:val="it-IT"/>
        </w:rPr>
      </w:pPr>
      <w:r>
        <w:rPr>
          <w:rFonts w:ascii="Garamond" w:eastAsia="Garamond" w:hAnsi="Garamond" w:cs="Garamond"/>
          <w:b/>
          <w:bCs/>
          <w:smallCaps/>
          <w:color w:val="FF0000"/>
          <w:spacing w:val="-2"/>
          <w:sz w:val="26"/>
          <w:szCs w:val="26"/>
          <w:lang w:val="it-IT"/>
        </w:rPr>
        <w:t>mercole</w:t>
      </w:r>
      <w:r w:rsidR="00B91D36">
        <w:rPr>
          <w:rFonts w:ascii="Garamond" w:eastAsia="Garamond" w:hAnsi="Garamond" w:cs="Garamond"/>
          <w:b/>
          <w:bCs/>
          <w:smallCaps/>
          <w:color w:val="FF0000"/>
          <w:spacing w:val="-2"/>
          <w:sz w:val="26"/>
          <w:szCs w:val="26"/>
          <w:lang w:val="it-IT"/>
        </w:rPr>
        <w:t xml:space="preserve">dì </w:t>
      </w:r>
      <w:r>
        <w:rPr>
          <w:rFonts w:ascii="Garamond" w:eastAsia="Garamond" w:hAnsi="Garamond" w:cs="Garamond"/>
          <w:b/>
          <w:bCs/>
          <w:smallCaps/>
          <w:color w:val="FF0000"/>
          <w:spacing w:val="-2"/>
          <w:sz w:val="26"/>
          <w:szCs w:val="26"/>
          <w:lang w:val="it-IT"/>
        </w:rPr>
        <w:t>19</w:t>
      </w:r>
      <w:r w:rsidR="00B91D36">
        <w:rPr>
          <w:rFonts w:ascii="Garamond" w:eastAsia="Garamond" w:hAnsi="Garamond" w:cs="Garamond"/>
          <w:b/>
          <w:bCs/>
          <w:smallCaps/>
          <w:color w:val="FF0000"/>
          <w:spacing w:val="-2"/>
          <w:sz w:val="26"/>
          <w:szCs w:val="26"/>
          <w:lang w:val="it-IT"/>
        </w:rPr>
        <w:t xml:space="preserve"> </w:t>
      </w:r>
      <w:r>
        <w:rPr>
          <w:rFonts w:ascii="Garamond" w:eastAsia="Garamond" w:hAnsi="Garamond" w:cs="Garamond"/>
          <w:b/>
          <w:bCs/>
          <w:smallCaps/>
          <w:color w:val="FF0000"/>
          <w:spacing w:val="-2"/>
          <w:sz w:val="26"/>
          <w:szCs w:val="26"/>
          <w:lang w:val="it-IT"/>
        </w:rPr>
        <w:t>ott</w:t>
      </w:r>
      <w:r w:rsidR="00B91D36">
        <w:rPr>
          <w:rFonts w:ascii="Garamond" w:eastAsia="Garamond" w:hAnsi="Garamond" w:cs="Garamond"/>
          <w:b/>
          <w:bCs/>
          <w:smallCaps/>
          <w:color w:val="FF0000"/>
          <w:spacing w:val="-2"/>
          <w:sz w:val="26"/>
          <w:szCs w:val="26"/>
          <w:lang w:val="it-IT"/>
        </w:rPr>
        <w:t>o</w:t>
      </w:r>
      <w:r>
        <w:rPr>
          <w:rFonts w:ascii="Garamond" w:eastAsia="Garamond" w:hAnsi="Garamond" w:cs="Garamond"/>
          <w:b/>
          <w:bCs/>
          <w:smallCaps/>
          <w:color w:val="FF0000"/>
          <w:spacing w:val="-2"/>
          <w:sz w:val="26"/>
          <w:szCs w:val="26"/>
          <w:lang w:val="it-IT"/>
        </w:rPr>
        <w:t>bre</w:t>
      </w:r>
      <w:r w:rsidR="00FE6A1F">
        <w:rPr>
          <w:rFonts w:ascii="Garamond" w:eastAsia="Garamond" w:hAnsi="Garamond" w:cs="Garamond"/>
          <w:b/>
          <w:bCs/>
          <w:smallCaps/>
          <w:color w:val="FF0000"/>
          <w:spacing w:val="-2"/>
          <w:sz w:val="26"/>
          <w:szCs w:val="26"/>
          <w:lang w:val="it-IT"/>
        </w:rPr>
        <w:t xml:space="preserve"> 2022</w:t>
      </w:r>
      <w:r w:rsidR="00B91D36">
        <w:rPr>
          <w:rFonts w:ascii="Garamond" w:eastAsia="Garamond" w:hAnsi="Garamond" w:cs="Garamond"/>
          <w:b/>
          <w:bCs/>
          <w:smallCaps/>
          <w:color w:val="FF0000"/>
          <w:spacing w:val="-2"/>
          <w:sz w:val="26"/>
          <w:szCs w:val="26"/>
          <w:lang w:val="it-IT"/>
        </w:rPr>
        <w:t>, ore 09:30</w:t>
      </w:r>
    </w:p>
    <w:p w:rsidR="00360C28" w:rsidRPr="007320E5" w:rsidRDefault="00360C28" w:rsidP="0076391B">
      <w:pPr>
        <w:widowControl/>
        <w:autoSpaceDE w:val="0"/>
        <w:autoSpaceDN w:val="0"/>
        <w:adjustRightInd w:val="0"/>
        <w:ind w:right="839"/>
        <w:jc w:val="center"/>
        <w:rPr>
          <w:rFonts w:ascii="Garamond" w:eastAsia="Calibri" w:hAnsi="Garamond" w:cs="Arial"/>
          <w:b/>
          <w:bCs/>
          <w:color w:val="244061" w:themeColor="accent1" w:themeShade="80"/>
          <w:sz w:val="24"/>
          <w:szCs w:val="24"/>
          <w:lang w:val="it-IT"/>
        </w:rPr>
      </w:pPr>
    </w:p>
    <w:p w:rsidR="007320E5" w:rsidRPr="00BD63C2" w:rsidRDefault="007320E5" w:rsidP="007320E5">
      <w:pPr>
        <w:widowControl/>
        <w:autoSpaceDE w:val="0"/>
        <w:autoSpaceDN w:val="0"/>
        <w:adjustRightInd w:val="0"/>
        <w:ind w:right="839"/>
        <w:jc w:val="center"/>
        <w:rPr>
          <w:rFonts w:ascii="Garamond" w:eastAsia="Calibri" w:hAnsi="Garamond" w:cs="Arial"/>
          <w:b/>
          <w:bCs/>
          <w:color w:val="244061" w:themeColor="accent1" w:themeShade="80"/>
          <w:sz w:val="26"/>
          <w:szCs w:val="26"/>
          <w:lang w:val="it-IT"/>
        </w:rPr>
      </w:pPr>
    </w:p>
    <w:p w:rsidR="00B12733" w:rsidRDefault="00B91D36" w:rsidP="004A15DA">
      <w:pPr>
        <w:pStyle w:val="NormaleWeb"/>
        <w:ind w:left="284" w:right="839"/>
        <w:jc w:val="both"/>
        <w:rPr>
          <w:rFonts w:ascii="Garamond" w:eastAsia="Calibri" w:hAnsi="Garamond" w:cs="Arial"/>
          <w:color w:val="17365D" w:themeColor="text2" w:themeShade="BF"/>
          <w:sz w:val="26"/>
          <w:szCs w:val="26"/>
          <w:lang w:eastAsia="en-US"/>
        </w:rPr>
      </w:pPr>
      <w:r w:rsidRPr="004A15DA">
        <w:rPr>
          <w:rFonts w:ascii="Garamond" w:eastAsia="Calibri" w:hAnsi="Garamond" w:cs="Arial"/>
          <w:color w:val="17365D" w:themeColor="text2" w:themeShade="BF"/>
          <w:sz w:val="26"/>
          <w:szCs w:val="26"/>
          <w:lang w:eastAsia="en-US"/>
        </w:rPr>
        <w:t xml:space="preserve">ADM organizza un </w:t>
      </w:r>
      <w:r w:rsidRPr="004A15DA">
        <w:rPr>
          <w:rFonts w:ascii="Garamond" w:eastAsia="Calibri" w:hAnsi="Garamond" w:cs="Arial"/>
          <w:i/>
          <w:color w:val="17365D" w:themeColor="text2" w:themeShade="BF"/>
          <w:sz w:val="26"/>
          <w:szCs w:val="26"/>
          <w:lang w:eastAsia="en-US"/>
        </w:rPr>
        <w:t>open hearing</w:t>
      </w:r>
      <w:r w:rsidRPr="004A15DA">
        <w:rPr>
          <w:rFonts w:ascii="Garamond" w:eastAsia="Calibri" w:hAnsi="Garamond" w:cs="Arial"/>
          <w:color w:val="17365D" w:themeColor="text2" w:themeShade="BF"/>
          <w:sz w:val="26"/>
          <w:szCs w:val="26"/>
          <w:lang w:eastAsia="en-US"/>
        </w:rPr>
        <w:t xml:space="preserve"> dedicato </w:t>
      </w:r>
      <w:r w:rsidR="00D27795">
        <w:rPr>
          <w:rFonts w:ascii="Garamond" w:eastAsia="Calibri" w:hAnsi="Garamond" w:cs="Arial"/>
          <w:color w:val="17365D" w:themeColor="text2" w:themeShade="BF"/>
          <w:sz w:val="26"/>
          <w:szCs w:val="26"/>
          <w:lang w:eastAsia="en-US"/>
        </w:rPr>
        <w:t>all</w:t>
      </w:r>
      <w:r w:rsidR="008A781B">
        <w:rPr>
          <w:rFonts w:ascii="Garamond" w:eastAsia="Calibri" w:hAnsi="Garamond" w:cs="Arial"/>
          <w:color w:val="17365D" w:themeColor="text2" w:themeShade="BF"/>
          <w:sz w:val="26"/>
          <w:szCs w:val="26"/>
          <w:lang w:eastAsia="en-US"/>
        </w:rPr>
        <w:t xml:space="preserve">a presentazione in forma telematica dei dati relativi alle materie prime </w:t>
      </w:r>
      <w:r w:rsidR="00D27795">
        <w:rPr>
          <w:rFonts w:ascii="Garamond" w:eastAsia="Calibri" w:hAnsi="Garamond" w:cs="Arial"/>
          <w:color w:val="17365D" w:themeColor="text2" w:themeShade="BF"/>
          <w:sz w:val="26"/>
          <w:szCs w:val="26"/>
          <w:lang w:eastAsia="en-US"/>
        </w:rPr>
        <w:t xml:space="preserve">utilizzate per la produzione di biocarburanti, </w:t>
      </w:r>
      <w:r w:rsidR="008A781B">
        <w:rPr>
          <w:rFonts w:ascii="Garamond" w:eastAsia="Calibri" w:hAnsi="Garamond" w:cs="Arial"/>
          <w:color w:val="17365D" w:themeColor="text2" w:themeShade="BF"/>
          <w:sz w:val="26"/>
          <w:szCs w:val="26"/>
          <w:lang w:eastAsia="en-US"/>
        </w:rPr>
        <w:t>al</w:t>
      </w:r>
      <w:r w:rsidR="00D27795">
        <w:rPr>
          <w:rFonts w:ascii="Garamond" w:eastAsia="Calibri" w:hAnsi="Garamond" w:cs="Arial"/>
          <w:color w:val="17365D" w:themeColor="text2" w:themeShade="BF"/>
          <w:sz w:val="26"/>
          <w:szCs w:val="26"/>
          <w:lang w:eastAsia="en-US"/>
        </w:rPr>
        <w:t xml:space="preserve"> conseguente accertamento quali-quantitativo nonché alla successiva miscelazione ed immissione in consumo anche in miscela con carburanti di origine fossile.</w:t>
      </w:r>
    </w:p>
    <w:p w:rsidR="008A781B" w:rsidRDefault="008A781B" w:rsidP="004A15DA">
      <w:pPr>
        <w:pStyle w:val="NormaleWeb"/>
        <w:ind w:left="284" w:right="839"/>
        <w:jc w:val="both"/>
        <w:rPr>
          <w:rFonts w:ascii="Garamond" w:eastAsia="Calibri" w:hAnsi="Garamond" w:cs="Arial"/>
          <w:color w:val="17365D" w:themeColor="text2" w:themeShade="BF"/>
          <w:sz w:val="26"/>
          <w:szCs w:val="26"/>
          <w:lang w:eastAsia="en-US"/>
        </w:rPr>
      </w:pPr>
    </w:p>
    <w:p w:rsidR="00D27795" w:rsidRDefault="00D27795" w:rsidP="004A15DA">
      <w:pPr>
        <w:pStyle w:val="NormaleWeb"/>
        <w:ind w:left="284" w:right="839"/>
        <w:jc w:val="both"/>
        <w:rPr>
          <w:rFonts w:ascii="Garamond" w:eastAsia="Calibri" w:hAnsi="Garamond" w:cs="Arial"/>
          <w:color w:val="17365D" w:themeColor="text2" w:themeShade="BF"/>
          <w:sz w:val="26"/>
          <w:szCs w:val="26"/>
          <w:lang w:eastAsia="en-US"/>
        </w:rPr>
      </w:pPr>
      <w:r>
        <w:rPr>
          <w:rFonts w:ascii="Garamond" w:eastAsia="Calibri" w:hAnsi="Garamond" w:cs="Arial"/>
          <w:color w:val="17365D" w:themeColor="text2" w:themeShade="BF"/>
          <w:sz w:val="26"/>
          <w:szCs w:val="26"/>
          <w:lang w:eastAsia="en-US"/>
        </w:rPr>
        <w:t>In considerazione delle novità introdotte dal</w:t>
      </w:r>
      <w:r w:rsidR="008A781B">
        <w:rPr>
          <w:rFonts w:ascii="Garamond" w:eastAsia="Calibri" w:hAnsi="Garamond" w:cs="Arial"/>
          <w:color w:val="17365D" w:themeColor="text2" w:themeShade="BF"/>
          <w:sz w:val="26"/>
          <w:szCs w:val="26"/>
          <w:lang w:eastAsia="en-US"/>
        </w:rPr>
        <w:t xml:space="preserve"> </w:t>
      </w:r>
      <w:proofErr w:type="spellStart"/>
      <w:r w:rsidR="008A781B">
        <w:rPr>
          <w:rFonts w:ascii="Garamond" w:eastAsia="Calibri" w:hAnsi="Garamond" w:cs="Arial"/>
          <w:color w:val="17365D" w:themeColor="text2" w:themeShade="BF"/>
          <w:sz w:val="26"/>
          <w:szCs w:val="26"/>
          <w:lang w:eastAsia="en-US"/>
        </w:rPr>
        <w:t>D.Lgs</w:t>
      </w:r>
      <w:r>
        <w:rPr>
          <w:rFonts w:ascii="Garamond" w:eastAsia="Calibri" w:hAnsi="Garamond" w:cs="Arial"/>
          <w:color w:val="17365D" w:themeColor="text2" w:themeShade="BF"/>
          <w:sz w:val="26"/>
          <w:szCs w:val="26"/>
          <w:lang w:eastAsia="en-US"/>
        </w:rPr>
        <w:t>.</w:t>
      </w:r>
      <w:proofErr w:type="spellEnd"/>
      <w:r w:rsidR="008A781B">
        <w:rPr>
          <w:rFonts w:ascii="Garamond" w:eastAsia="Calibri" w:hAnsi="Garamond" w:cs="Arial"/>
          <w:color w:val="17365D" w:themeColor="text2" w:themeShade="BF"/>
          <w:sz w:val="26"/>
          <w:szCs w:val="26"/>
          <w:lang w:eastAsia="en-US"/>
        </w:rPr>
        <w:t xml:space="preserve"> 199/2021 </w:t>
      </w:r>
      <w:r>
        <w:rPr>
          <w:rFonts w:ascii="Garamond" w:eastAsia="Calibri" w:hAnsi="Garamond" w:cs="Arial"/>
          <w:color w:val="17365D" w:themeColor="text2" w:themeShade="BF"/>
          <w:sz w:val="26"/>
          <w:szCs w:val="26"/>
          <w:lang w:eastAsia="en-US"/>
        </w:rPr>
        <w:t>in materia di</w:t>
      </w:r>
      <w:r w:rsidR="008A781B">
        <w:rPr>
          <w:rFonts w:ascii="Garamond" w:eastAsia="Calibri" w:hAnsi="Garamond" w:cs="Arial"/>
          <w:color w:val="17365D" w:themeColor="text2" w:themeShade="BF"/>
          <w:sz w:val="26"/>
          <w:szCs w:val="26"/>
          <w:lang w:eastAsia="en-US"/>
        </w:rPr>
        <w:t xml:space="preserve"> classificazione</w:t>
      </w:r>
      <w:r>
        <w:rPr>
          <w:rFonts w:ascii="Garamond" w:eastAsia="Calibri" w:hAnsi="Garamond" w:cs="Arial"/>
          <w:color w:val="17365D" w:themeColor="text2" w:themeShade="BF"/>
          <w:sz w:val="26"/>
          <w:szCs w:val="26"/>
          <w:lang w:eastAsia="en-US"/>
        </w:rPr>
        <w:t xml:space="preserve"> ed impiego</w:t>
      </w:r>
      <w:r w:rsidR="0076391B">
        <w:rPr>
          <w:rFonts w:ascii="Garamond" w:eastAsia="Calibri" w:hAnsi="Garamond" w:cs="Arial"/>
          <w:color w:val="17365D" w:themeColor="text2" w:themeShade="BF"/>
          <w:sz w:val="26"/>
          <w:szCs w:val="26"/>
          <w:lang w:eastAsia="en-US"/>
        </w:rPr>
        <w:t xml:space="preserve"> d</w:t>
      </w:r>
      <w:r w:rsidR="008A781B">
        <w:rPr>
          <w:rFonts w:ascii="Garamond" w:eastAsia="Calibri" w:hAnsi="Garamond" w:cs="Arial"/>
          <w:color w:val="17365D" w:themeColor="text2" w:themeShade="BF"/>
          <w:sz w:val="26"/>
          <w:szCs w:val="26"/>
          <w:lang w:eastAsia="en-US"/>
        </w:rPr>
        <w:t xml:space="preserve">i biocarburanti, </w:t>
      </w:r>
      <w:r>
        <w:rPr>
          <w:rFonts w:ascii="Garamond" w:eastAsia="Calibri" w:hAnsi="Garamond" w:cs="Arial"/>
          <w:color w:val="17365D" w:themeColor="text2" w:themeShade="BF"/>
          <w:sz w:val="26"/>
          <w:szCs w:val="26"/>
          <w:lang w:eastAsia="en-US"/>
        </w:rPr>
        <w:t xml:space="preserve">ADM è tenuta a fornire apposite disposizioni in materia di denaturazione dell’alcole per uso carburazione nonché a disciplinare le modalità </w:t>
      </w:r>
      <w:r w:rsidR="0076391B">
        <w:rPr>
          <w:rFonts w:ascii="Garamond" w:eastAsia="Calibri" w:hAnsi="Garamond" w:cs="Arial"/>
          <w:color w:val="17365D" w:themeColor="text2" w:themeShade="BF"/>
          <w:sz w:val="26"/>
          <w:szCs w:val="26"/>
          <w:lang w:eastAsia="en-US"/>
        </w:rPr>
        <w:t>di accertamento e di contabilizzazione dei relativi flussi merceologici presso</w:t>
      </w:r>
      <w:r>
        <w:rPr>
          <w:rFonts w:ascii="Garamond" w:eastAsia="Calibri" w:hAnsi="Garamond" w:cs="Arial"/>
          <w:color w:val="17365D" w:themeColor="text2" w:themeShade="BF"/>
          <w:sz w:val="26"/>
          <w:szCs w:val="26"/>
          <w:lang w:eastAsia="en-US"/>
        </w:rPr>
        <w:t xml:space="preserve"> i depositi fiscali</w:t>
      </w:r>
      <w:r w:rsidR="0076391B">
        <w:rPr>
          <w:rFonts w:ascii="Garamond" w:eastAsia="Calibri" w:hAnsi="Garamond" w:cs="Arial"/>
          <w:color w:val="17365D" w:themeColor="text2" w:themeShade="BF"/>
          <w:sz w:val="26"/>
          <w:szCs w:val="26"/>
          <w:lang w:eastAsia="en-US"/>
        </w:rPr>
        <w:t>,</w:t>
      </w:r>
      <w:r>
        <w:rPr>
          <w:rFonts w:ascii="Garamond" w:eastAsia="Calibri" w:hAnsi="Garamond" w:cs="Arial"/>
          <w:color w:val="17365D" w:themeColor="text2" w:themeShade="BF"/>
          <w:sz w:val="26"/>
          <w:szCs w:val="26"/>
          <w:lang w:eastAsia="en-US"/>
        </w:rPr>
        <w:t xml:space="preserve"> sia di prodotti energetici si</w:t>
      </w:r>
      <w:r w:rsidR="0076391B">
        <w:rPr>
          <w:rFonts w:ascii="Garamond" w:eastAsia="Calibri" w:hAnsi="Garamond" w:cs="Arial"/>
          <w:color w:val="17365D" w:themeColor="text2" w:themeShade="BF"/>
          <w:sz w:val="26"/>
          <w:szCs w:val="26"/>
          <w:lang w:eastAsia="en-US"/>
        </w:rPr>
        <w:t>a di quelli alcolici.</w:t>
      </w:r>
    </w:p>
    <w:p w:rsidR="00D27795" w:rsidRDefault="00D27795" w:rsidP="004A15DA">
      <w:pPr>
        <w:pStyle w:val="NormaleWeb"/>
        <w:ind w:left="284" w:right="839"/>
        <w:jc w:val="both"/>
        <w:rPr>
          <w:rFonts w:ascii="Garamond" w:eastAsia="Calibri" w:hAnsi="Garamond" w:cs="Arial"/>
          <w:color w:val="17365D" w:themeColor="text2" w:themeShade="BF"/>
          <w:sz w:val="26"/>
          <w:szCs w:val="26"/>
          <w:lang w:eastAsia="en-US"/>
        </w:rPr>
      </w:pPr>
    </w:p>
    <w:p w:rsidR="00B12733" w:rsidRPr="004A15DA" w:rsidRDefault="0076391B" w:rsidP="004A15DA">
      <w:pPr>
        <w:pStyle w:val="NormaleWeb"/>
        <w:ind w:left="284" w:right="839"/>
        <w:jc w:val="both"/>
        <w:rPr>
          <w:rFonts w:ascii="Garamond" w:eastAsia="Calibri" w:hAnsi="Garamond" w:cs="Arial"/>
          <w:color w:val="17365D" w:themeColor="text2" w:themeShade="BF"/>
          <w:sz w:val="26"/>
          <w:szCs w:val="26"/>
          <w:lang w:eastAsia="en-US"/>
        </w:rPr>
      </w:pPr>
      <w:r>
        <w:rPr>
          <w:rFonts w:ascii="Garamond" w:eastAsia="Calibri" w:hAnsi="Garamond" w:cs="Arial"/>
          <w:color w:val="17365D" w:themeColor="text2" w:themeShade="BF"/>
          <w:sz w:val="26"/>
          <w:szCs w:val="26"/>
          <w:lang w:eastAsia="en-US"/>
        </w:rPr>
        <w:t xml:space="preserve">Al riguardo, </w:t>
      </w:r>
      <w:r w:rsidR="008A781B">
        <w:rPr>
          <w:rFonts w:ascii="Garamond" w:eastAsia="Calibri" w:hAnsi="Garamond" w:cs="Arial"/>
          <w:color w:val="17365D" w:themeColor="text2" w:themeShade="BF"/>
          <w:sz w:val="26"/>
          <w:szCs w:val="26"/>
          <w:lang w:eastAsia="en-US"/>
        </w:rPr>
        <w:t xml:space="preserve">ADM </w:t>
      </w:r>
      <w:r w:rsidR="00876B81" w:rsidRPr="004A15DA">
        <w:rPr>
          <w:rFonts w:ascii="Garamond" w:eastAsia="Calibri" w:hAnsi="Garamond" w:cs="Arial"/>
          <w:color w:val="17365D" w:themeColor="text2" w:themeShade="BF"/>
          <w:sz w:val="26"/>
          <w:szCs w:val="26"/>
          <w:lang w:eastAsia="en-US"/>
        </w:rPr>
        <w:t xml:space="preserve">si propone di recepire le osservazioni delle Associazioni e degli operatori di settore al fine di </w:t>
      </w:r>
      <w:r>
        <w:rPr>
          <w:rFonts w:ascii="Garamond" w:eastAsia="Calibri" w:hAnsi="Garamond" w:cs="Arial"/>
          <w:color w:val="17365D" w:themeColor="text2" w:themeShade="BF"/>
          <w:sz w:val="26"/>
          <w:szCs w:val="26"/>
          <w:lang w:eastAsia="en-US"/>
        </w:rPr>
        <w:t>pervenire alla</w:t>
      </w:r>
      <w:r w:rsidR="008A781B">
        <w:rPr>
          <w:rFonts w:ascii="Garamond" w:eastAsia="Calibri" w:hAnsi="Garamond" w:cs="Arial"/>
          <w:color w:val="17365D" w:themeColor="text2" w:themeShade="BF"/>
          <w:sz w:val="26"/>
          <w:szCs w:val="26"/>
          <w:lang w:eastAsia="en-US"/>
        </w:rPr>
        <w:t xml:space="preserve"> definizione </w:t>
      </w:r>
      <w:r>
        <w:rPr>
          <w:rFonts w:ascii="Garamond" w:eastAsia="Calibri" w:hAnsi="Garamond" w:cs="Arial"/>
          <w:color w:val="17365D" w:themeColor="text2" w:themeShade="BF"/>
          <w:sz w:val="26"/>
          <w:szCs w:val="26"/>
          <w:lang w:eastAsia="en-US"/>
        </w:rPr>
        <w:t xml:space="preserve">dei relativi provvedimenti di prassi nonché </w:t>
      </w:r>
      <w:r w:rsidR="008A781B">
        <w:rPr>
          <w:rFonts w:ascii="Garamond" w:eastAsia="Calibri" w:hAnsi="Garamond" w:cs="Arial"/>
          <w:color w:val="17365D" w:themeColor="text2" w:themeShade="BF"/>
          <w:sz w:val="26"/>
          <w:szCs w:val="26"/>
          <w:lang w:eastAsia="en-US"/>
        </w:rPr>
        <w:t>dei tracciati record</w:t>
      </w:r>
      <w:r w:rsidR="00876B81" w:rsidRPr="004A15DA">
        <w:rPr>
          <w:rFonts w:ascii="Garamond" w:eastAsia="Calibri" w:hAnsi="Garamond" w:cs="Arial"/>
          <w:color w:val="17365D" w:themeColor="text2" w:themeShade="BF"/>
          <w:sz w:val="26"/>
          <w:szCs w:val="26"/>
          <w:lang w:eastAsia="en-US"/>
        </w:rPr>
        <w:t xml:space="preserve"> </w:t>
      </w:r>
      <w:r w:rsidR="008A781B">
        <w:rPr>
          <w:rFonts w:ascii="Garamond" w:eastAsia="Calibri" w:hAnsi="Garamond" w:cs="Arial"/>
          <w:color w:val="17365D" w:themeColor="text2" w:themeShade="BF"/>
          <w:sz w:val="26"/>
          <w:szCs w:val="26"/>
          <w:lang w:eastAsia="en-US"/>
        </w:rPr>
        <w:t xml:space="preserve">per la telematizzazione </w:t>
      </w:r>
      <w:r w:rsidR="001970F7" w:rsidRPr="004A15DA">
        <w:rPr>
          <w:rFonts w:ascii="Garamond" w:eastAsia="Calibri" w:hAnsi="Garamond" w:cs="Arial"/>
          <w:color w:val="17365D" w:themeColor="text2" w:themeShade="BF"/>
          <w:sz w:val="26"/>
          <w:szCs w:val="26"/>
          <w:lang w:eastAsia="en-US"/>
        </w:rPr>
        <w:t>dei</w:t>
      </w:r>
      <w:r w:rsidR="00876B81" w:rsidRPr="004A15DA">
        <w:rPr>
          <w:rFonts w:ascii="Garamond" w:eastAsia="Calibri" w:hAnsi="Garamond" w:cs="Arial"/>
          <w:color w:val="17365D" w:themeColor="text2" w:themeShade="BF"/>
          <w:sz w:val="26"/>
          <w:szCs w:val="26"/>
          <w:lang w:eastAsia="en-US"/>
        </w:rPr>
        <w:t xml:space="preserve"> </w:t>
      </w:r>
      <w:r w:rsidR="008A781B">
        <w:rPr>
          <w:rFonts w:ascii="Garamond" w:eastAsia="Calibri" w:hAnsi="Garamond" w:cs="Arial"/>
          <w:color w:val="17365D" w:themeColor="text2" w:themeShade="BF"/>
          <w:sz w:val="26"/>
          <w:szCs w:val="26"/>
          <w:lang w:eastAsia="en-US"/>
        </w:rPr>
        <w:t>dati contabili</w:t>
      </w:r>
      <w:r w:rsidR="001970F7" w:rsidRPr="004A15DA">
        <w:rPr>
          <w:rFonts w:ascii="Garamond" w:eastAsia="Calibri" w:hAnsi="Garamond" w:cs="Arial"/>
          <w:color w:val="17365D" w:themeColor="text2" w:themeShade="BF"/>
          <w:sz w:val="26"/>
          <w:szCs w:val="26"/>
          <w:lang w:eastAsia="en-US"/>
        </w:rPr>
        <w:t>.</w:t>
      </w:r>
      <w:r w:rsidR="00876B81" w:rsidRPr="004A15DA">
        <w:rPr>
          <w:rFonts w:ascii="Garamond" w:eastAsia="Calibri" w:hAnsi="Garamond" w:cs="Arial"/>
          <w:color w:val="17365D" w:themeColor="text2" w:themeShade="BF"/>
          <w:sz w:val="26"/>
          <w:szCs w:val="26"/>
          <w:lang w:eastAsia="en-US"/>
        </w:rPr>
        <w:t xml:space="preserve"> </w:t>
      </w:r>
      <w:r w:rsidR="00B12733" w:rsidRPr="004A15DA">
        <w:rPr>
          <w:rFonts w:ascii="Garamond" w:eastAsia="Calibri" w:hAnsi="Garamond" w:cs="Arial"/>
          <w:color w:val="17365D" w:themeColor="text2" w:themeShade="BF"/>
          <w:sz w:val="26"/>
          <w:szCs w:val="26"/>
          <w:lang w:eastAsia="en-US"/>
        </w:rPr>
        <w:t xml:space="preserve">  </w:t>
      </w:r>
    </w:p>
    <w:p w:rsidR="00B91D36" w:rsidRPr="004A15DA" w:rsidRDefault="00B91D36" w:rsidP="004A15DA">
      <w:pPr>
        <w:pStyle w:val="NormaleWeb"/>
        <w:ind w:left="284" w:hanging="284"/>
        <w:rPr>
          <w:rFonts w:ascii="Calibri" w:hAnsi="Calibri"/>
          <w:color w:val="000000"/>
          <w:sz w:val="26"/>
          <w:szCs w:val="26"/>
        </w:rPr>
      </w:pPr>
    </w:p>
    <w:p w:rsidR="008A781B" w:rsidRPr="004A15DA" w:rsidRDefault="008A781B" w:rsidP="008A781B">
      <w:pPr>
        <w:widowControl/>
        <w:ind w:left="284" w:right="839"/>
        <w:jc w:val="both"/>
        <w:rPr>
          <w:rFonts w:ascii="Garamond" w:eastAsia="Calibri" w:hAnsi="Garamond" w:cs="Times New Roman"/>
          <w:color w:val="17365D" w:themeColor="text2" w:themeShade="BF"/>
          <w:sz w:val="26"/>
          <w:szCs w:val="26"/>
          <w:lang w:val="it-IT"/>
        </w:rPr>
      </w:pPr>
      <w:r w:rsidRPr="004A15DA">
        <w:rPr>
          <w:rFonts w:ascii="Garamond" w:eastAsia="Calibri" w:hAnsi="Garamond" w:cs="Arial"/>
          <w:color w:val="17365D" w:themeColor="text2" w:themeShade="BF"/>
          <w:sz w:val="26"/>
          <w:szCs w:val="26"/>
          <w:lang w:val="it-IT"/>
        </w:rPr>
        <w:t>L’</w:t>
      </w:r>
      <w:r w:rsidRPr="004A15DA">
        <w:rPr>
          <w:rFonts w:ascii="Garamond" w:eastAsia="Calibri" w:hAnsi="Garamond" w:cs="Arial"/>
          <w:i/>
          <w:color w:val="17365D" w:themeColor="text2" w:themeShade="BF"/>
          <w:sz w:val="26"/>
          <w:szCs w:val="26"/>
          <w:lang w:val="it-IT"/>
        </w:rPr>
        <w:t>open hearing</w:t>
      </w:r>
      <w:r w:rsidRPr="004A15DA">
        <w:rPr>
          <w:rFonts w:ascii="Garamond" w:eastAsia="Calibri" w:hAnsi="Garamond" w:cs="Arial"/>
          <w:color w:val="17365D" w:themeColor="text2" w:themeShade="BF"/>
          <w:sz w:val="26"/>
          <w:szCs w:val="26"/>
          <w:lang w:val="it-IT"/>
        </w:rPr>
        <w:t xml:space="preserve"> si terrà in modalità </w:t>
      </w:r>
      <w:r w:rsidRPr="004A15DA">
        <w:rPr>
          <w:rFonts w:ascii="Garamond" w:eastAsia="Calibri" w:hAnsi="Garamond" w:cs="Arial"/>
          <w:i/>
          <w:color w:val="17365D" w:themeColor="text2" w:themeShade="BF"/>
          <w:sz w:val="26"/>
          <w:szCs w:val="26"/>
          <w:lang w:val="it-IT"/>
        </w:rPr>
        <w:t>zoom conference</w:t>
      </w:r>
      <w:r w:rsidRPr="004A15DA">
        <w:rPr>
          <w:rFonts w:ascii="Garamond" w:eastAsia="Calibri" w:hAnsi="Garamond" w:cs="Arial"/>
          <w:color w:val="17365D" w:themeColor="text2" w:themeShade="BF"/>
          <w:sz w:val="26"/>
          <w:szCs w:val="26"/>
          <w:lang w:val="it-IT"/>
        </w:rPr>
        <w:t xml:space="preserve"> e sarà aperto a professionisti e operatori del settore che potranno aderire entro le ore 18:30 di </w:t>
      </w:r>
      <w:r>
        <w:rPr>
          <w:rFonts w:ascii="Garamond" w:eastAsia="Calibri" w:hAnsi="Garamond" w:cs="Arial"/>
          <w:color w:val="17365D" w:themeColor="text2" w:themeShade="BF"/>
          <w:sz w:val="26"/>
          <w:szCs w:val="26"/>
          <w:lang w:val="it-IT"/>
        </w:rPr>
        <w:t>martedì 18 ottobre</w:t>
      </w:r>
      <w:r w:rsidRPr="004A15DA">
        <w:rPr>
          <w:rFonts w:ascii="Garamond" w:eastAsia="Calibri" w:hAnsi="Garamond" w:cs="Arial"/>
          <w:color w:val="17365D" w:themeColor="text2" w:themeShade="BF"/>
          <w:sz w:val="26"/>
          <w:szCs w:val="26"/>
          <w:lang w:val="it-IT"/>
        </w:rPr>
        <w:t xml:space="preserve"> 2022 attraverso la piattaforma EVENTBRITE, raggiungibile al seguente </w:t>
      </w:r>
      <w:hyperlink r:id="rId8" w:history="1">
        <w:r w:rsidRPr="0033263E">
          <w:rPr>
            <w:rStyle w:val="Collegamentoipertestuale"/>
            <w:rFonts w:ascii="Garamond" w:eastAsia="Calibri" w:hAnsi="Garamond" w:cs="Arial"/>
            <w:b/>
            <w:sz w:val="26"/>
            <w:szCs w:val="26"/>
            <w:lang w:val="it-IT"/>
          </w:rPr>
          <w:t>LINK</w:t>
        </w:r>
      </w:hyperlink>
      <w:r w:rsidRPr="004A15DA">
        <w:rPr>
          <w:rFonts w:ascii="Garamond" w:eastAsia="Calibri" w:hAnsi="Garamond" w:cs="Arial"/>
          <w:sz w:val="26"/>
          <w:szCs w:val="26"/>
          <w:lang w:val="it-IT"/>
        </w:rPr>
        <w:t xml:space="preserve"> </w:t>
      </w:r>
      <w:r w:rsidRPr="004A15DA">
        <w:rPr>
          <w:rFonts w:ascii="Garamond" w:eastAsia="Calibri" w:hAnsi="Garamond" w:cs="Arial"/>
          <w:color w:val="17365D" w:themeColor="text2" w:themeShade="BF"/>
          <w:sz w:val="26"/>
          <w:szCs w:val="26"/>
          <w:lang w:val="it-IT"/>
        </w:rPr>
        <w:t>in modo da segnalare nominativi e recapiti di posta elettronica dei partecipanti. L’iscrizione si effettua selezionando il pulsante REGISTRATI presente nella pagina di EVENTBRITE dedicata all’evento. Chi effettua l’iscrizione riceverà un messaggio di posta elettronica contenente le indicazioni utili per collegarsi all’</w:t>
      </w:r>
      <w:r w:rsidRPr="004A15DA">
        <w:rPr>
          <w:rFonts w:ascii="Garamond" w:eastAsia="Calibri" w:hAnsi="Garamond" w:cs="Arial"/>
          <w:i/>
          <w:color w:val="17365D" w:themeColor="text2" w:themeShade="BF"/>
          <w:sz w:val="26"/>
          <w:szCs w:val="26"/>
          <w:lang w:val="it-IT"/>
        </w:rPr>
        <w:t>open hearing</w:t>
      </w:r>
      <w:r w:rsidRPr="004A15DA">
        <w:rPr>
          <w:rFonts w:ascii="Garamond" w:eastAsia="Calibri" w:hAnsi="Garamond" w:cs="Times New Roman"/>
          <w:color w:val="17365D" w:themeColor="text2" w:themeShade="BF"/>
          <w:sz w:val="26"/>
          <w:szCs w:val="26"/>
          <w:lang w:val="it-IT"/>
        </w:rPr>
        <w:t>.</w:t>
      </w:r>
    </w:p>
    <w:p w:rsidR="00921287" w:rsidRPr="00F537ED" w:rsidRDefault="00921287" w:rsidP="008F03F9">
      <w:pPr>
        <w:pStyle w:val="Corpotesto"/>
        <w:ind w:right="740"/>
        <w:jc w:val="both"/>
        <w:rPr>
          <w:color w:val="17365D" w:themeColor="text2" w:themeShade="BF"/>
          <w:sz w:val="24"/>
          <w:szCs w:val="24"/>
          <w:lang w:val="it-IT"/>
        </w:rPr>
      </w:pPr>
    </w:p>
    <w:sectPr w:rsidR="00921287" w:rsidRPr="00F537ED" w:rsidSect="00D25ED3">
      <w:headerReference w:type="default" r:id="rId9"/>
      <w:type w:val="continuous"/>
      <w:pgSz w:w="11900" w:h="16840"/>
      <w:pgMar w:top="426" w:right="400" w:bottom="280" w:left="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CE9" w:rsidRDefault="00CA6CE9" w:rsidP="00442C68">
      <w:r>
        <w:separator/>
      </w:r>
    </w:p>
  </w:endnote>
  <w:endnote w:type="continuationSeparator" w:id="0">
    <w:p w:rsidR="00CA6CE9" w:rsidRDefault="00CA6CE9" w:rsidP="00442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CE9" w:rsidRDefault="00CA6CE9" w:rsidP="00442C68">
      <w:r>
        <w:separator/>
      </w:r>
    </w:p>
  </w:footnote>
  <w:footnote w:type="continuationSeparator" w:id="0">
    <w:p w:rsidR="00CA6CE9" w:rsidRDefault="00CA6CE9" w:rsidP="00442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C68" w:rsidRDefault="00442C68">
    <w:pPr>
      <w:pStyle w:val="Intestazione"/>
    </w:pPr>
    <w:r w:rsidRPr="00442C68">
      <w:rPr>
        <w:rFonts w:ascii="Garamond" w:eastAsia="Calibri" w:hAnsi="Garamond" w:cs="Times New Roman"/>
        <w:noProof/>
        <w:sz w:val="24"/>
        <w:szCs w:val="24"/>
        <w:lang w:val="it-IT" w:eastAsia="it-IT"/>
      </w:rPr>
      <w:drawing>
        <wp:anchor distT="0" distB="0" distL="114300" distR="114300" simplePos="0" relativeHeight="251659264" behindDoc="0" locked="0" layoutInCell="1" allowOverlap="1" wp14:anchorId="126548EB" wp14:editId="52AB12C5">
          <wp:simplePos x="0" y="0"/>
          <wp:positionH relativeFrom="column">
            <wp:posOffset>198120</wp:posOffset>
          </wp:positionH>
          <wp:positionV relativeFrom="paragraph">
            <wp:posOffset>189230</wp:posOffset>
          </wp:positionV>
          <wp:extent cx="2170999" cy="762335"/>
          <wp:effectExtent l="0" t="0" r="1270" b="0"/>
          <wp:wrapNone/>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rotWithShape="1">
                  <a:blip r:embed="rId1">
                    <a:extLst>
                      <a:ext uri="{28A0092B-C50C-407E-A947-70E740481C1C}">
                        <a14:useLocalDpi xmlns:a14="http://schemas.microsoft.com/office/drawing/2010/main" val="0"/>
                      </a:ext>
                    </a:extLst>
                  </a:blip>
                  <a:srcRect l="2222" t="10370" r="70486" b="72593"/>
                  <a:stretch/>
                </pic:blipFill>
                <pic:spPr>
                  <a:xfrm>
                    <a:off x="0" y="0"/>
                    <a:ext cx="2170999" cy="762335"/>
                  </a:xfrm>
                  <a:prstGeom prst="rect">
                    <a:avLst/>
                  </a:prstGeom>
                </pic:spPr>
              </pic:pic>
            </a:graphicData>
          </a:graphic>
          <wp14:sizeRelH relativeFrom="page">
            <wp14:pctWidth>0</wp14:pctWidth>
          </wp14:sizeRelH>
          <wp14:sizeRelV relativeFrom="page">
            <wp14:pctHeight>0</wp14:pctHeight>
          </wp14:sizeRelV>
        </wp:anchor>
      </w:drawing>
    </w:r>
  </w:p>
  <w:p w:rsidR="00442C68" w:rsidRDefault="00442C6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F59F2"/>
    <w:multiLevelType w:val="hybridMultilevel"/>
    <w:tmpl w:val="9E525BE0"/>
    <w:lvl w:ilvl="0" w:tplc="7CEE353A">
      <w:start w:val="1"/>
      <w:numFmt w:val="bullet"/>
      <w:lvlText w:val="-"/>
      <w:lvlJc w:val="left"/>
      <w:pPr>
        <w:ind w:left="973" w:hanging="360"/>
      </w:pPr>
      <w:rPr>
        <w:rFonts w:ascii="Times New Roman" w:hAnsi="Times New Roman" w:cs="Times New Roman"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abstractNum w:abstractNumId="1">
    <w:nsid w:val="2A924CB0"/>
    <w:multiLevelType w:val="hybridMultilevel"/>
    <w:tmpl w:val="A41070AE"/>
    <w:lvl w:ilvl="0" w:tplc="8F7297D0">
      <w:start w:val="1"/>
      <w:numFmt w:val="bullet"/>
      <w:lvlText w:val="-"/>
      <w:lvlJc w:val="left"/>
      <w:pPr>
        <w:ind w:left="973" w:hanging="360"/>
      </w:pPr>
      <w:rPr>
        <w:rFonts w:ascii="Arial" w:eastAsia="Times New Roman" w:hAnsi="Arial" w:cs="Arial" w:hint="default"/>
      </w:rPr>
    </w:lvl>
    <w:lvl w:ilvl="1" w:tplc="04100019" w:tentative="1">
      <w:start w:val="1"/>
      <w:numFmt w:val="lowerLetter"/>
      <w:lvlText w:val="%2."/>
      <w:lvlJc w:val="left"/>
      <w:pPr>
        <w:ind w:left="1693" w:hanging="360"/>
      </w:pPr>
    </w:lvl>
    <w:lvl w:ilvl="2" w:tplc="0410001B" w:tentative="1">
      <w:start w:val="1"/>
      <w:numFmt w:val="lowerRoman"/>
      <w:lvlText w:val="%3."/>
      <w:lvlJc w:val="right"/>
      <w:pPr>
        <w:ind w:left="2413" w:hanging="180"/>
      </w:pPr>
    </w:lvl>
    <w:lvl w:ilvl="3" w:tplc="0410000F" w:tentative="1">
      <w:start w:val="1"/>
      <w:numFmt w:val="decimal"/>
      <w:lvlText w:val="%4."/>
      <w:lvlJc w:val="left"/>
      <w:pPr>
        <w:ind w:left="3133" w:hanging="360"/>
      </w:pPr>
    </w:lvl>
    <w:lvl w:ilvl="4" w:tplc="04100019" w:tentative="1">
      <w:start w:val="1"/>
      <w:numFmt w:val="lowerLetter"/>
      <w:lvlText w:val="%5."/>
      <w:lvlJc w:val="left"/>
      <w:pPr>
        <w:ind w:left="3853" w:hanging="360"/>
      </w:pPr>
    </w:lvl>
    <w:lvl w:ilvl="5" w:tplc="0410001B" w:tentative="1">
      <w:start w:val="1"/>
      <w:numFmt w:val="lowerRoman"/>
      <w:lvlText w:val="%6."/>
      <w:lvlJc w:val="right"/>
      <w:pPr>
        <w:ind w:left="4573" w:hanging="180"/>
      </w:pPr>
    </w:lvl>
    <w:lvl w:ilvl="6" w:tplc="0410000F" w:tentative="1">
      <w:start w:val="1"/>
      <w:numFmt w:val="decimal"/>
      <w:lvlText w:val="%7."/>
      <w:lvlJc w:val="left"/>
      <w:pPr>
        <w:ind w:left="5293" w:hanging="360"/>
      </w:pPr>
    </w:lvl>
    <w:lvl w:ilvl="7" w:tplc="04100019" w:tentative="1">
      <w:start w:val="1"/>
      <w:numFmt w:val="lowerLetter"/>
      <w:lvlText w:val="%8."/>
      <w:lvlJc w:val="left"/>
      <w:pPr>
        <w:ind w:left="6013" w:hanging="360"/>
      </w:pPr>
    </w:lvl>
    <w:lvl w:ilvl="8" w:tplc="0410001B" w:tentative="1">
      <w:start w:val="1"/>
      <w:numFmt w:val="lowerRoman"/>
      <w:lvlText w:val="%9."/>
      <w:lvlJc w:val="right"/>
      <w:pPr>
        <w:ind w:left="6733" w:hanging="180"/>
      </w:pPr>
    </w:lvl>
  </w:abstractNum>
  <w:abstractNum w:abstractNumId="2">
    <w:nsid w:val="673C2F34"/>
    <w:multiLevelType w:val="hybridMultilevel"/>
    <w:tmpl w:val="95D814E4"/>
    <w:lvl w:ilvl="0" w:tplc="04100001">
      <w:start w:val="1"/>
      <w:numFmt w:val="bullet"/>
      <w:lvlText w:val=""/>
      <w:lvlJc w:val="left"/>
      <w:pPr>
        <w:ind w:left="973" w:hanging="360"/>
      </w:pPr>
      <w:rPr>
        <w:rFonts w:ascii="Symbol" w:hAnsi="Symbol"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287"/>
    <w:rsid w:val="00014DE3"/>
    <w:rsid w:val="000206A2"/>
    <w:rsid w:val="000625F2"/>
    <w:rsid w:val="00064F31"/>
    <w:rsid w:val="00075367"/>
    <w:rsid w:val="00085BC5"/>
    <w:rsid w:val="000872E4"/>
    <w:rsid w:val="000C1E64"/>
    <w:rsid w:val="000D3BE1"/>
    <w:rsid w:val="000E1E1D"/>
    <w:rsid w:val="00103E6D"/>
    <w:rsid w:val="00122F8D"/>
    <w:rsid w:val="001328B2"/>
    <w:rsid w:val="001636DD"/>
    <w:rsid w:val="001970F7"/>
    <w:rsid w:val="001A2B19"/>
    <w:rsid w:val="001B5C02"/>
    <w:rsid w:val="001D67CE"/>
    <w:rsid w:val="001F24AE"/>
    <w:rsid w:val="001F5EE0"/>
    <w:rsid w:val="00200765"/>
    <w:rsid w:val="002067FE"/>
    <w:rsid w:val="0021720F"/>
    <w:rsid w:val="00225865"/>
    <w:rsid w:val="00231631"/>
    <w:rsid w:val="00242174"/>
    <w:rsid w:val="0026174E"/>
    <w:rsid w:val="002724DC"/>
    <w:rsid w:val="00273B6F"/>
    <w:rsid w:val="0029128E"/>
    <w:rsid w:val="002D6760"/>
    <w:rsid w:val="002E2CF8"/>
    <w:rsid w:val="002F4B4F"/>
    <w:rsid w:val="002F7826"/>
    <w:rsid w:val="0030585D"/>
    <w:rsid w:val="003252D3"/>
    <w:rsid w:val="0033263E"/>
    <w:rsid w:val="00351347"/>
    <w:rsid w:val="00360C0C"/>
    <w:rsid w:val="00360C28"/>
    <w:rsid w:val="00385753"/>
    <w:rsid w:val="003A5FBC"/>
    <w:rsid w:val="003B5446"/>
    <w:rsid w:val="003B73B1"/>
    <w:rsid w:val="003F7FBA"/>
    <w:rsid w:val="00442C68"/>
    <w:rsid w:val="004572A2"/>
    <w:rsid w:val="00474882"/>
    <w:rsid w:val="00495DFF"/>
    <w:rsid w:val="0049712C"/>
    <w:rsid w:val="004A15DA"/>
    <w:rsid w:val="004C64EC"/>
    <w:rsid w:val="004D257E"/>
    <w:rsid w:val="005034BF"/>
    <w:rsid w:val="00517DA1"/>
    <w:rsid w:val="00536E76"/>
    <w:rsid w:val="005524C7"/>
    <w:rsid w:val="00557D09"/>
    <w:rsid w:val="00562770"/>
    <w:rsid w:val="00585756"/>
    <w:rsid w:val="00590277"/>
    <w:rsid w:val="005B7483"/>
    <w:rsid w:val="005C46B9"/>
    <w:rsid w:val="005E441F"/>
    <w:rsid w:val="00627EBA"/>
    <w:rsid w:val="00637B17"/>
    <w:rsid w:val="0066387F"/>
    <w:rsid w:val="006758B0"/>
    <w:rsid w:val="006761B0"/>
    <w:rsid w:val="006961F8"/>
    <w:rsid w:val="006D100F"/>
    <w:rsid w:val="006E1A13"/>
    <w:rsid w:val="006F545E"/>
    <w:rsid w:val="007320E5"/>
    <w:rsid w:val="0076391B"/>
    <w:rsid w:val="007806F7"/>
    <w:rsid w:val="007908B7"/>
    <w:rsid w:val="00793434"/>
    <w:rsid w:val="007B2A4E"/>
    <w:rsid w:val="007C6113"/>
    <w:rsid w:val="007D17A4"/>
    <w:rsid w:val="007D6F20"/>
    <w:rsid w:val="007E219A"/>
    <w:rsid w:val="007F7835"/>
    <w:rsid w:val="00800DC8"/>
    <w:rsid w:val="00807743"/>
    <w:rsid w:val="00845DB1"/>
    <w:rsid w:val="0085610C"/>
    <w:rsid w:val="00876B81"/>
    <w:rsid w:val="00892126"/>
    <w:rsid w:val="008942A4"/>
    <w:rsid w:val="008A781B"/>
    <w:rsid w:val="008D5358"/>
    <w:rsid w:val="008E04E2"/>
    <w:rsid w:val="008E2998"/>
    <w:rsid w:val="008F03F9"/>
    <w:rsid w:val="00921287"/>
    <w:rsid w:val="00924ED4"/>
    <w:rsid w:val="0098669F"/>
    <w:rsid w:val="009909E8"/>
    <w:rsid w:val="009978BA"/>
    <w:rsid w:val="009A4FB6"/>
    <w:rsid w:val="009B1C62"/>
    <w:rsid w:val="009B564D"/>
    <w:rsid w:val="009C1246"/>
    <w:rsid w:val="009C43CF"/>
    <w:rsid w:val="009C6122"/>
    <w:rsid w:val="009F3430"/>
    <w:rsid w:val="009F5BD7"/>
    <w:rsid w:val="00A106B9"/>
    <w:rsid w:val="00A17E47"/>
    <w:rsid w:val="00A2332C"/>
    <w:rsid w:val="00A24950"/>
    <w:rsid w:val="00A411F7"/>
    <w:rsid w:val="00A636DA"/>
    <w:rsid w:val="00A96479"/>
    <w:rsid w:val="00AB39E0"/>
    <w:rsid w:val="00AE7E3E"/>
    <w:rsid w:val="00AF12F7"/>
    <w:rsid w:val="00AF6E4A"/>
    <w:rsid w:val="00AF7789"/>
    <w:rsid w:val="00B12733"/>
    <w:rsid w:val="00B23FA4"/>
    <w:rsid w:val="00B3534E"/>
    <w:rsid w:val="00B621DB"/>
    <w:rsid w:val="00B66CC5"/>
    <w:rsid w:val="00B75BC5"/>
    <w:rsid w:val="00B82058"/>
    <w:rsid w:val="00B91D36"/>
    <w:rsid w:val="00B927E3"/>
    <w:rsid w:val="00BA25D3"/>
    <w:rsid w:val="00BB45E2"/>
    <w:rsid w:val="00BD5E85"/>
    <w:rsid w:val="00BD63C2"/>
    <w:rsid w:val="00C14F33"/>
    <w:rsid w:val="00C17739"/>
    <w:rsid w:val="00C2115C"/>
    <w:rsid w:val="00C3025B"/>
    <w:rsid w:val="00C3028F"/>
    <w:rsid w:val="00C335F9"/>
    <w:rsid w:val="00C35929"/>
    <w:rsid w:val="00C51D19"/>
    <w:rsid w:val="00C65567"/>
    <w:rsid w:val="00C93B1E"/>
    <w:rsid w:val="00CA6CE9"/>
    <w:rsid w:val="00CB7E4A"/>
    <w:rsid w:val="00CD3FF9"/>
    <w:rsid w:val="00D06107"/>
    <w:rsid w:val="00D25ED3"/>
    <w:rsid w:val="00D27795"/>
    <w:rsid w:val="00D313BC"/>
    <w:rsid w:val="00D3529A"/>
    <w:rsid w:val="00D8626C"/>
    <w:rsid w:val="00D92E8E"/>
    <w:rsid w:val="00DD6231"/>
    <w:rsid w:val="00DE27A4"/>
    <w:rsid w:val="00DE3ECE"/>
    <w:rsid w:val="00E04EB9"/>
    <w:rsid w:val="00E122F6"/>
    <w:rsid w:val="00E13AA8"/>
    <w:rsid w:val="00E47E7C"/>
    <w:rsid w:val="00E62821"/>
    <w:rsid w:val="00EC619A"/>
    <w:rsid w:val="00ED2043"/>
    <w:rsid w:val="00ED3DB5"/>
    <w:rsid w:val="00EE31F7"/>
    <w:rsid w:val="00EF1CA5"/>
    <w:rsid w:val="00EF495F"/>
    <w:rsid w:val="00F069A9"/>
    <w:rsid w:val="00F23138"/>
    <w:rsid w:val="00F269C6"/>
    <w:rsid w:val="00F36119"/>
    <w:rsid w:val="00F40AFA"/>
    <w:rsid w:val="00F46EE7"/>
    <w:rsid w:val="00F50F09"/>
    <w:rsid w:val="00F537ED"/>
    <w:rsid w:val="00F963D7"/>
    <w:rsid w:val="00FA12ED"/>
    <w:rsid w:val="00FA342A"/>
    <w:rsid w:val="00FE6A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 w:type="paragraph" w:styleId="NormaleWeb">
    <w:name w:val="Normal (Web)"/>
    <w:basedOn w:val="Normale"/>
    <w:uiPriority w:val="99"/>
    <w:unhideWhenUsed/>
    <w:rsid w:val="00FE6A1F"/>
    <w:pPr>
      <w:widowControl/>
    </w:pPr>
    <w:rPr>
      <w:rFonts w:ascii="Times New Roman" w:hAnsi="Times New Roman" w:cs="Times New Roman"/>
      <w:sz w:val="24"/>
      <w:szCs w:val="24"/>
      <w:lang w:val="it-IT" w:eastAsia="it-IT"/>
    </w:rPr>
  </w:style>
  <w:style w:type="character" w:styleId="Enfasicorsivo">
    <w:name w:val="Emphasis"/>
    <w:basedOn w:val="Carpredefinitoparagrafo"/>
    <w:uiPriority w:val="20"/>
    <w:qFormat/>
    <w:rsid w:val="00FE6A1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 w:type="paragraph" w:styleId="NormaleWeb">
    <w:name w:val="Normal (Web)"/>
    <w:basedOn w:val="Normale"/>
    <w:uiPriority w:val="99"/>
    <w:unhideWhenUsed/>
    <w:rsid w:val="00FE6A1F"/>
    <w:pPr>
      <w:widowControl/>
    </w:pPr>
    <w:rPr>
      <w:rFonts w:ascii="Times New Roman" w:hAnsi="Times New Roman" w:cs="Times New Roman"/>
      <w:sz w:val="24"/>
      <w:szCs w:val="24"/>
      <w:lang w:val="it-IT" w:eastAsia="it-IT"/>
    </w:rPr>
  </w:style>
  <w:style w:type="character" w:styleId="Enfasicorsivo">
    <w:name w:val="Emphasis"/>
    <w:basedOn w:val="Carpredefinitoparagrafo"/>
    <w:uiPriority w:val="20"/>
    <w:qFormat/>
    <w:rsid w:val="00FE6A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5893">
      <w:bodyDiv w:val="1"/>
      <w:marLeft w:val="0"/>
      <w:marRight w:val="0"/>
      <w:marTop w:val="0"/>
      <w:marBottom w:val="0"/>
      <w:divBdr>
        <w:top w:val="none" w:sz="0" w:space="0" w:color="auto"/>
        <w:left w:val="none" w:sz="0" w:space="0" w:color="auto"/>
        <w:bottom w:val="none" w:sz="0" w:space="0" w:color="auto"/>
        <w:right w:val="none" w:sz="0" w:space="0" w:color="auto"/>
      </w:divBdr>
    </w:div>
    <w:div w:id="675115330">
      <w:bodyDiv w:val="1"/>
      <w:marLeft w:val="0"/>
      <w:marRight w:val="0"/>
      <w:marTop w:val="0"/>
      <w:marBottom w:val="0"/>
      <w:divBdr>
        <w:top w:val="none" w:sz="0" w:space="0" w:color="auto"/>
        <w:left w:val="none" w:sz="0" w:space="0" w:color="auto"/>
        <w:bottom w:val="none" w:sz="0" w:space="0" w:color="auto"/>
        <w:right w:val="none" w:sz="0" w:space="0" w:color="auto"/>
      </w:divBdr>
    </w:div>
    <w:div w:id="1408453772">
      <w:bodyDiv w:val="1"/>
      <w:marLeft w:val="0"/>
      <w:marRight w:val="0"/>
      <w:marTop w:val="0"/>
      <w:marBottom w:val="0"/>
      <w:divBdr>
        <w:top w:val="none" w:sz="0" w:space="0" w:color="auto"/>
        <w:left w:val="none" w:sz="0" w:space="0" w:color="auto"/>
        <w:bottom w:val="none" w:sz="0" w:space="0" w:color="auto"/>
        <w:right w:val="none" w:sz="0" w:space="0" w:color="auto"/>
      </w:divBdr>
    </w:div>
    <w:div w:id="1735351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it/e/biglietti-biocarburanti-accertamento-e-contabilizzazione-presso-i-depositi-fiscali-440311462437"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278</Words>
  <Characters>1589</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AAMS</Company>
  <LinksUpToDate>false</LinksUpToDate>
  <CharactersWithSpaces>1864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virginia.mauro@adm.gov.it</dc:creator>
  <cp:lastModifiedBy>Virginia mauro</cp:lastModifiedBy>
  <cp:revision>3</cp:revision>
  <dcterms:created xsi:type="dcterms:W3CDTF">2022-10-13T07:17:00Z</dcterms:created>
  <dcterms:modified xsi:type="dcterms:W3CDTF">2022-10-13T07:21:00Z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2021-01-05T00:00:00Z</vt:filetime>
  </property>
  <property fmtid="{D5CDD505-2E9C-101B-9397-08002B2CF9AE}" pid="3" name="LastSaved">
    <vt:filetime>2021-01-29T00:00:00Z</vt:filetime>
  </property>
</Properties>
</file>