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9AF" w14:textId="78A96CC9" w:rsidR="00C04EC1" w:rsidRPr="0078679C" w:rsidRDefault="00B72E2C" w:rsidP="00543CF4">
      <w:pPr>
        <w:jc w:val="center"/>
        <w:rPr>
          <w:rFonts w:ascii="Garamond" w:hAnsi="Garamond"/>
          <w:b/>
          <w:sz w:val="24"/>
          <w:szCs w:val="24"/>
        </w:rPr>
      </w:pPr>
      <w:r w:rsidRPr="0078679C">
        <w:rPr>
          <w:rFonts w:ascii="Garamond" w:hAnsi="Garamond"/>
          <w:b/>
          <w:sz w:val="24"/>
          <w:szCs w:val="24"/>
        </w:rPr>
        <w:t>SCHE</w:t>
      </w:r>
      <w:r w:rsidR="00F6367D" w:rsidRPr="0078679C">
        <w:rPr>
          <w:rFonts w:ascii="Garamond" w:hAnsi="Garamond"/>
          <w:b/>
          <w:sz w:val="24"/>
          <w:szCs w:val="24"/>
        </w:rPr>
        <w:t xml:space="preserve">MA DI RELAZIONE </w:t>
      </w:r>
      <w:r w:rsidR="00687917" w:rsidRPr="0078679C">
        <w:rPr>
          <w:rFonts w:ascii="Garamond" w:hAnsi="Garamond"/>
          <w:b/>
          <w:sz w:val="24"/>
          <w:szCs w:val="24"/>
        </w:rPr>
        <w:t xml:space="preserve">TECNICA </w:t>
      </w:r>
      <w:r w:rsidR="00C5581E" w:rsidRPr="0078679C">
        <w:rPr>
          <w:rFonts w:ascii="Garamond" w:hAnsi="Garamond"/>
          <w:b/>
          <w:bCs/>
          <w:sz w:val="24"/>
          <w:szCs w:val="24"/>
          <w:lang w:bidi="it-IT"/>
        </w:rPr>
        <w:t>PER LA FORNITURA</w:t>
      </w:r>
      <w:r w:rsidR="00032C7F" w:rsidRPr="0078679C">
        <w:rPr>
          <w:rFonts w:ascii="Garamond" w:hAnsi="Garamond"/>
          <w:b/>
          <w:bCs/>
          <w:sz w:val="24"/>
          <w:szCs w:val="24"/>
          <w:lang w:bidi="it-IT"/>
        </w:rPr>
        <w:t xml:space="preserve"> DI</w:t>
      </w:r>
      <w:r w:rsidR="00543CF4" w:rsidRPr="0078679C">
        <w:rPr>
          <w:rFonts w:ascii="Garamond" w:hAnsi="Garamond"/>
        </w:rPr>
        <w:t xml:space="preserve"> </w:t>
      </w:r>
      <w:r w:rsidR="00032C7F" w:rsidRPr="0078679C">
        <w:rPr>
          <w:rFonts w:ascii="Garamond" w:hAnsi="Garamond"/>
          <w:b/>
          <w:bCs/>
          <w:sz w:val="24"/>
          <w:szCs w:val="24"/>
          <w:lang w:bidi="it-IT"/>
        </w:rPr>
        <w:t>N. 6 LABORATORI CHIMICI MOBILI DOTATI DI APPARECCHIATURE TECNICO SCIENTIFICHE PER UN IMPORTO COMPLESSIVO A BASE D’ASTA PARI AD € 2.049.000 (duemilioniquarantanovemila/00) IVA ESCLUSA</w:t>
      </w:r>
    </w:p>
    <w:p w14:paraId="0EF9A100" w14:textId="77777777" w:rsidR="00543CF4" w:rsidRPr="0078679C" w:rsidRDefault="00543CF4" w:rsidP="0078679C">
      <w:pPr>
        <w:jc w:val="center"/>
        <w:rPr>
          <w:rFonts w:ascii="Garamond" w:hAnsi="Garamond" w:cs="Garamond"/>
          <w:b/>
          <w:bCs/>
          <w:sz w:val="26"/>
          <w:szCs w:val="26"/>
        </w:rPr>
      </w:pPr>
    </w:p>
    <w:p w14:paraId="46DB52E2" w14:textId="7F614BD6" w:rsidR="00543CF4" w:rsidRPr="0078679C" w:rsidRDefault="00543CF4" w:rsidP="0078679C">
      <w:pPr>
        <w:jc w:val="center"/>
        <w:rPr>
          <w:rFonts w:ascii="Garamond" w:hAnsi="Garamond" w:cs="Garamond"/>
          <w:b/>
          <w:bCs/>
          <w:sz w:val="26"/>
          <w:szCs w:val="26"/>
        </w:rPr>
      </w:pPr>
      <w:r w:rsidRPr="0078679C">
        <w:rPr>
          <w:rFonts w:ascii="Garamond" w:hAnsi="Garamond" w:cs="Garamond"/>
          <w:b/>
          <w:bCs/>
          <w:sz w:val="26"/>
          <w:szCs w:val="26"/>
        </w:rPr>
        <w:t>CIG:</w:t>
      </w:r>
      <w:r w:rsidR="0067573E">
        <w:rPr>
          <w:rFonts w:ascii="Garamond" w:hAnsi="Garamond" w:cs="Garamond"/>
          <w:b/>
          <w:bCs/>
          <w:sz w:val="26"/>
          <w:szCs w:val="26"/>
        </w:rPr>
        <w:t xml:space="preserve"> </w:t>
      </w:r>
      <w:r w:rsidR="0067573E" w:rsidRPr="0067573E">
        <w:rPr>
          <w:rFonts w:ascii="Garamond" w:hAnsi="Garamond" w:cs="Garamond"/>
          <w:b/>
          <w:bCs/>
          <w:sz w:val="26"/>
          <w:szCs w:val="26"/>
        </w:rPr>
        <w:t>B13002CC4A</w:t>
      </w:r>
    </w:p>
    <w:p w14:paraId="6707828A" w14:textId="32DFBE93" w:rsidR="00543CF4" w:rsidRPr="0078679C" w:rsidRDefault="00543CF4" w:rsidP="0078679C">
      <w:pPr>
        <w:jc w:val="center"/>
        <w:rPr>
          <w:rFonts w:ascii="Garamond" w:hAnsi="Garamond" w:cs="Garamond"/>
          <w:b/>
          <w:bCs/>
          <w:sz w:val="26"/>
          <w:szCs w:val="26"/>
        </w:rPr>
      </w:pPr>
      <w:r w:rsidRPr="0078679C">
        <w:rPr>
          <w:rFonts w:ascii="Garamond" w:hAnsi="Garamond" w:cs="Garamond"/>
          <w:b/>
          <w:bCs/>
          <w:sz w:val="26"/>
          <w:szCs w:val="26"/>
        </w:rPr>
        <w:t>CUP:</w:t>
      </w:r>
      <w:r w:rsidR="0067573E">
        <w:rPr>
          <w:rFonts w:ascii="Garamond" w:hAnsi="Garamond" w:cs="Garamond"/>
          <w:b/>
          <w:bCs/>
          <w:sz w:val="26"/>
          <w:szCs w:val="26"/>
        </w:rPr>
        <w:t xml:space="preserve"> </w:t>
      </w:r>
      <w:r w:rsidR="0067573E" w:rsidRPr="0067573E">
        <w:rPr>
          <w:rFonts w:ascii="Garamond" w:hAnsi="Garamond" w:cs="Garamond"/>
          <w:b/>
          <w:bCs/>
          <w:sz w:val="26"/>
          <w:szCs w:val="26"/>
        </w:rPr>
        <w:t>G45C23000190005</w:t>
      </w:r>
    </w:p>
    <w:p w14:paraId="2627CB31" w14:textId="77777777" w:rsidR="00543CF4" w:rsidRPr="0078679C" w:rsidRDefault="00543CF4" w:rsidP="0078679C">
      <w:pPr>
        <w:autoSpaceDE w:val="0"/>
        <w:autoSpaceDN w:val="0"/>
        <w:adjustRightInd w:val="0"/>
        <w:jc w:val="center"/>
        <w:rPr>
          <w:rFonts w:ascii="Garamond" w:hAnsi="Garamond"/>
          <w:b/>
          <w:color w:val="000000"/>
          <w:sz w:val="26"/>
          <w:szCs w:val="26"/>
        </w:rPr>
      </w:pPr>
      <w:r w:rsidRPr="0078679C">
        <w:rPr>
          <w:rFonts w:ascii="Garamond" w:hAnsi="Garamond"/>
          <w:b/>
          <w:color w:val="000000"/>
          <w:sz w:val="26"/>
          <w:szCs w:val="26"/>
        </w:rPr>
        <w:t>Codice NUTS: IT Italia</w:t>
      </w:r>
    </w:p>
    <w:p w14:paraId="6AD1798F" w14:textId="77777777" w:rsidR="00032C7F" w:rsidRPr="0078679C" w:rsidRDefault="00032C7F" w:rsidP="0078679C">
      <w:pPr>
        <w:autoSpaceDE w:val="0"/>
        <w:autoSpaceDN w:val="0"/>
        <w:adjustRightInd w:val="0"/>
        <w:jc w:val="center"/>
        <w:rPr>
          <w:rFonts w:ascii="Garamond" w:hAnsi="Garamond"/>
          <w:b/>
          <w:color w:val="000000"/>
          <w:sz w:val="26"/>
          <w:szCs w:val="26"/>
        </w:rPr>
      </w:pPr>
      <w:r w:rsidRPr="0078679C">
        <w:rPr>
          <w:rFonts w:ascii="Garamond" w:hAnsi="Garamond"/>
          <w:b/>
          <w:color w:val="000000"/>
          <w:sz w:val="26"/>
          <w:szCs w:val="26"/>
        </w:rPr>
        <w:t>CPV Prevalente: 38432000-2 Apparecchi per analisi</w:t>
      </w:r>
    </w:p>
    <w:p w14:paraId="36DC8EEE" w14:textId="01315080" w:rsidR="00543CF4" w:rsidRPr="0078679C" w:rsidRDefault="00032C7F" w:rsidP="0078679C">
      <w:pPr>
        <w:autoSpaceDE w:val="0"/>
        <w:autoSpaceDN w:val="0"/>
        <w:adjustRightInd w:val="0"/>
        <w:jc w:val="center"/>
        <w:rPr>
          <w:rFonts w:ascii="Garamond" w:hAnsi="Garamond"/>
          <w:b/>
          <w:color w:val="000000"/>
          <w:sz w:val="26"/>
          <w:szCs w:val="26"/>
        </w:rPr>
      </w:pPr>
      <w:r w:rsidRPr="0078679C">
        <w:rPr>
          <w:rFonts w:ascii="Garamond" w:hAnsi="Garamond"/>
          <w:b/>
          <w:color w:val="000000"/>
          <w:sz w:val="26"/>
          <w:szCs w:val="26"/>
        </w:rPr>
        <w:t>CPV: 34100000-8 Veicoli a motore</w:t>
      </w:r>
    </w:p>
    <w:p w14:paraId="49E91588" w14:textId="77777777" w:rsidR="00C04EC1" w:rsidRPr="0078679C" w:rsidRDefault="004A7786" w:rsidP="0078679C">
      <w:pPr>
        <w:jc w:val="center"/>
        <w:rPr>
          <w:rFonts w:ascii="Garamond" w:hAnsi="Garamond"/>
          <w:b/>
          <w:sz w:val="24"/>
          <w:szCs w:val="24"/>
        </w:rPr>
      </w:pPr>
      <w:r w:rsidRPr="0078679C">
        <w:rPr>
          <w:rFonts w:ascii="Garamond" w:hAnsi="Garamond"/>
          <w:b/>
          <w:sz w:val="24"/>
          <w:szCs w:val="24"/>
        </w:rPr>
        <w:br w:type="page"/>
      </w:r>
    </w:p>
    <w:p w14:paraId="0DEBDCC6" w14:textId="77777777" w:rsidR="00B72E2C" w:rsidRPr="0078679C" w:rsidRDefault="00B72E2C" w:rsidP="00C13BDA">
      <w:pPr>
        <w:jc w:val="both"/>
        <w:rPr>
          <w:rFonts w:ascii="Garamond" w:hAnsi="Garamond"/>
          <w:b/>
          <w:sz w:val="24"/>
          <w:szCs w:val="24"/>
        </w:rPr>
      </w:pPr>
      <w:r w:rsidRPr="0078679C">
        <w:rPr>
          <w:rFonts w:ascii="Garamond" w:hAnsi="Garamond"/>
          <w:b/>
          <w:sz w:val="24"/>
          <w:szCs w:val="24"/>
        </w:rPr>
        <w:lastRenderedPageBreak/>
        <w:t>1. DISPOSIZIONI GENERALI</w:t>
      </w:r>
    </w:p>
    <w:p w14:paraId="2C814DA8" w14:textId="77777777" w:rsidR="00F6367D" w:rsidRPr="0078679C" w:rsidRDefault="00F6367D" w:rsidP="00C13BDA">
      <w:pPr>
        <w:jc w:val="both"/>
        <w:rPr>
          <w:rFonts w:ascii="Garamond" w:hAnsi="Garamond"/>
          <w:sz w:val="24"/>
          <w:szCs w:val="24"/>
        </w:rPr>
      </w:pPr>
      <w:r w:rsidRPr="0078679C">
        <w:rPr>
          <w:rFonts w:ascii="Garamond" w:hAnsi="Garamond"/>
          <w:sz w:val="24"/>
          <w:szCs w:val="24"/>
        </w:rPr>
        <w:t xml:space="preserve">La Relazione tecnica è il documento atto a garantire  un confronto omogeneo dei contenuti tecnici delle offerte, è pertanto essenziale rispettare il modello predisposto. Gli argomenti trattati </w:t>
      </w:r>
      <w:r w:rsidR="00C5581E" w:rsidRPr="0078679C">
        <w:rPr>
          <w:rFonts w:ascii="Garamond" w:hAnsi="Garamond"/>
          <w:sz w:val="24"/>
          <w:szCs w:val="24"/>
        </w:rPr>
        <w:t>devono</w:t>
      </w:r>
      <w:r w:rsidRPr="0078679C">
        <w:rPr>
          <w:rFonts w:ascii="Garamond" w:hAnsi="Garamond"/>
          <w:sz w:val="24"/>
          <w:szCs w:val="24"/>
        </w:rPr>
        <w:t xml:space="preserve"> essere esposti in modo organico chiaro e sintetico e in conformità ai requisiti indicati nella documentazione di gara.</w:t>
      </w:r>
    </w:p>
    <w:p w14:paraId="778CE292" w14:textId="77777777" w:rsidR="00B72E2C" w:rsidRPr="0078679C" w:rsidRDefault="00B72E2C" w:rsidP="00C13BDA">
      <w:pPr>
        <w:jc w:val="both"/>
        <w:rPr>
          <w:rFonts w:ascii="Garamond" w:hAnsi="Garamond"/>
          <w:sz w:val="24"/>
          <w:szCs w:val="24"/>
        </w:rPr>
      </w:pPr>
      <w:r w:rsidRPr="0078679C">
        <w:rPr>
          <w:rFonts w:ascii="Garamond" w:hAnsi="Garamond"/>
          <w:sz w:val="24"/>
          <w:szCs w:val="24"/>
        </w:rPr>
        <w:t>La Relazione Tecnica deve essere redatta in lingua italiana. In caso di redazione in lingua diversa dall’italiano la Relazione deve essere corredata da traduzione giurata; le prescrizioni che seguono si applicano alla traduzione giurata.</w:t>
      </w:r>
      <w:r w:rsidR="00C5581E" w:rsidRPr="0078679C">
        <w:rPr>
          <w:rFonts w:ascii="Garamond" w:hAnsi="Garamond"/>
          <w:sz w:val="24"/>
          <w:szCs w:val="24"/>
        </w:rPr>
        <w:t xml:space="preserve"> </w:t>
      </w:r>
    </w:p>
    <w:p w14:paraId="72DCF23F" w14:textId="77777777" w:rsidR="00B72E2C" w:rsidRPr="0078679C" w:rsidRDefault="00B72E2C" w:rsidP="00C13BDA">
      <w:pPr>
        <w:jc w:val="both"/>
        <w:rPr>
          <w:rFonts w:ascii="Garamond" w:hAnsi="Garamond"/>
          <w:sz w:val="24"/>
          <w:szCs w:val="24"/>
        </w:rPr>
      </w:pPr>
      <w:r w:rsidRPr="0078679C">
        <w:rPr>
          <w:rFonts w:ascii="Garamond" w:hAnsi="Garamond"/>
          <w:sz w:val="24"/>
          <w:szCs w:val="24"/>
        </w:rPr>
        <w:t>La presenza nella Relazione Tecnica di qualsivoglia indicazione (diretta o indiretta) di carattere economico relativo all’offerta costituisce causa di esclusione dalla gara.</w:t>
      </w:r>
    </w:p>
    <w:p w14:paraId="21465ACB" w14:textId="77777777" w:rsidR="00B72E2C" w:rsidRPr="0078679C" w:rsidRDefault="00B72E2C" w:rsidP="00C13BDA">
      <w:pPr>
        <w:jc w:val="both"/>
        <w:rPr>
          <w:rFonts w:ascii="Garamond" w:hAnsi="Garamond"/>
          <w:sz w:val="24"/>
          <w:szCs w:val="24"/>
        </w:rPr>
      </w:pPr>
      <w:r w:rsidRPr="0078679C">
        <w:rPr>
          <w:rFonts w:ascii="Garamond" w:hAnsi="Garamond"/>
          <w:sz w:val="24"/>
          <w:szCs w:val="24"/>
        </w:rPr>
        <w:t xml:space="preserve">La Relazione Tecnica deve contenere una descrizione completa e dettagliata </w:t>
      </w:r>
      <w:r w:rsidR="00C5581E" w:rsidRPr="0078679C">
        <w:rPr>
          <w:rFonts w:ascii="Garamond" w:hAnsi="Garamond"/>
          <w:sz w:val="24"/>
          <w:szCs w:val="24"/>
        </w:rPr>
        <w:t>di quanto offerto</w:t>
      </w:r>
      <w:r w:rsidRPr="0078679C">
        <w:rPr>
          <w:rFonts w:ascii="Garamond" w:hAnsi="Garamond"/>
          <w:sz w:val="24"/>
          <w:szCs w:val="24"/>
        </w:rPr>
        <w:t xml:space="preserve">, </w:t>
      </w:r>
      <w:r w:rsidR="00C5581E" w:rsidRPr="0078679C">
        <w:rPr>
          <w:rFonts w:ascii="Garamond" w:hAnsi="Garamond"/>
          <w:sz w:val="24"/>
          <w:szCs w:val="24"/>
        </w:rPr>
        <w:t>secondo quanto previsto</w:t>
      </w:r>
      <w:r w:rsidRPr="0078679C">
        <w:rPr>
          <w:rFonts w:ascii="Garamond" w:hAnsi="Garamond"/>
          <w:sz w:val="24"/>
          <w:szCs w:val="24"/>
        </w:rPr>
        <w:t xml:space="preserve"> dal Capitolato Tecnico.</w:t>
      </w:r>
    </w:p>
    <w:p w14:paraId="2315D39F" w14:textId="77777777" w:rsidR="00B72E2C" w:rsidRPr="0078679C" w:rsidRDefault="00B72E2C" w:rsidP="00C13BDA">
      <w:pPr>
        <w:jc w:val="both"/>
        <w:rPr>
          <w:rFonts w:ascii="Garamond" w:hAnsi="Garamond"/>
          <w:sz w:val="24"/>
          <w:szCs w:val="24"/>
        </w:rPr>
      </w:pPr>
      <w:r w:rsidRPr="0078679C">
        <w:rPr>
          <w:rFonts w:ascii="Garamond" w:hAnsi="Garamond"/>
          <w:sz w:val="24"/>
          <w:szCs w:val="24"/>
        </w:rPr>
        <w:t>La Relazione Tecnica deve rispettare le seguenti specifiche:</w:t>
      </w:r>
    </w:p>
    <w:p w14:paraId="1764453E" w14:textId="77777777" w:rsidR="00CB1595" w:rsidRPr="0078679C" w:rsidRDefault="00CB1595" w:rsidP="00E1655E">
      <w:pPr>
        <w:pStyle w:val="Paragrafoelenco"/>
        <w:numPr>
          <w:ilvl w:val="0"/>
          <w:numId w:val="9"/>
        </w:numPr>
        <w:jc w:val="both"/>
        <w:rPr>
          <w:rFonts w:ascii="Garamond" w:hAnsi="Garamond"/>
          <w:sz w:val="24"/>
          <w:szCs w:val="24"/>
        </w:rPr>
      </w:pPr>
      <w:r w:rsidRPr="0078679C">
        <w:rPr>
          <w:rFonts w:ascii="Garamond" w:hAnsi="Garamond"/>
          <w:sz w:val="24"/>
          <w:szCs w:val="24"/>
        </w:rPr>
        <w:t>es</w:t>
      </w:r>
      <w:r w:rsidR="00E1655E" w:rsidRPr="0078679C">
        <w:rPr>
          <w:rFonts w:ascii="Garamond" w:hAnsi="Garamond"/>
          <w:sz w:val="24"/>
          <w:szCs w:val="24"/>
        </w:rPr>
        <w:t>sere redatta su carta intestata;</w:t>
      </w:r>
    </w:p>
    <w:p w14:paraId="7CC12420" w14:textId="77777777" w:rsidR="00B72E2C" w:rsidRPr="0078679C" w:rsidRDefault="00B72E2C" w:rsidP="00E1655E">
      <w:pPr>
        <w:pStyle w:val="Paragrafoelenco"/>
        <w:numPr>
          <w:ilvl w:val="0"/>
          <w:numId w:val="9"/>
        </w:numPr>
        <w:jc w:val="both"/>
        <w:rPr>
          <w:rFonts w:ascii="Garamond" w:hAnsi="Garamond"/>
          <w:sz w:val="24"/>
          <w:szCs w:val="24"/>
        </w:rPr>
      </w:pPr>
      <w:r w:rsidRPr="0078679C">
        <w:rPr>
          <w:rFonts w:ascii="Garamond" w:hAnsi="Garamond"/>
          <w:sz w:val="24"/>
          <w:szCs w:val="24"/>
        </w:rPr>
        <w:t>essere articolata secondo lo “Schema di Relazione Tecnica” riportato nel successivo punto “2) Schema di Relazione Tecnica”;</w:t>
      </w:r>
    </w:p>
    <w:p w14:paraId="1893E034" w14:textId="77777777" w:rsidR="00B72E2C" w:rsidRPr="0078679C" w:rsidRDefault="00B72E2C" w:rsidP="00E1655E">
      <w:pPr>
        <w:pStyle w:val="Paragrafoelenco"/>
        <w:numPr>
          <w:ilvl w:val="0"/>
          <w:numId w:val="9"/>
        </w:numPr>
        <w:jc w:val="both"/>
        <w:rPr>
          <w:rFonts w:ascii="Garamond" w:hAnsi="Garamond"/>
          <w:sz w:val="24"/>
          <w:szCs w:val="24"/>
        </w:rPr>
      </w:pPr>
      <w:r w:rsidRPr="0078679C">
        <w:rPr>
          <w:rFonts w:ascii="Garamond" w:hAnsi="Garamond"/>
          <w:sz w:val="24"/>
          <w:szCs w:val="24"/>
        </w:rPr>
        <w:t>essere prodotta in formato PDF.</w:t>
      </w:r>
    </w:p>
    <w:p w14:paraId="7C0CF90A" w14:textId="77777777" w:rsidR="00CB1595" w:rsidRPr="0078679C" w:rsidRDefault="00CB1595" w:rsidP="00CB1595">
      <w:pPr>
        <w:jc w:val="both"/>
        <w:rPr>
          <w:rFonts w:ascii="Garamond" w:hAnsi="Garamond"/>
          <w:sz w:val="24"/>
          <w:szCs w:val="24"/>
        </w:rPr>
      </w:pPr>
    </w:p>
    <w:p w14:paraId="18BADFC8" w14:textId="77777777" w:rsidR="00F6367D" w:rsidRPr="0078679C" w:rsidRDefault="00F6367D" w:rsidP="00C13BDA">
      <w:pPr>
        <w:jc w:val="both"/>
        <w:rPr>
          <w:rFonts w:ascii="Garamond" w:hAnsi="Garamond"/>
          <w:b/>
          <w:bCs/>
          <w:sz w:val="24"/>
          <w:szCs w:val="24"/>
        </w:rPr>
      </w:pPr>
      <w:r w:rsidRPr="0078679C">
        <w:rPr>
          <w:rFonts w:ascii="Garamond" w:hAnsi="Garamond"/>
          <w:b/>
          <w:bCs/>
          <w:sz w:val="24"/>
          <w:szCs w:val="24"/>
        </w:rPr>
        <w:t xml:space="preserve">La Relazione </w:t>
      </w:r>
      <w:r w:rsidR="00DA357E" w:rsidRPr="0078679C">
        <w:rPr>
          <w:rFonts w:ascii="Garamond" w:hAnsi="Garamond"/>
          <w:b/>
          <w:bCs/>
          <w:sz w:val="24"/>
          <w:szCs w:val="24"/>
        </w:rPr>
        <w:t>deve</w:t>
      </w:r>
      <w:r w:rsidRPr="0078679C">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sidRPr="0078679C">
        <w:rPr>
          <w:rFonts w:ascii="Garamond" w:hAnsi="Garamond"/>
          <w:b/>
          <w:bCs/>
          <w:sz w:val="24"/>
          <w:szCs w:val="24"/>
        </w:rPr>
        <w:t>deve</w:t>
      </w:r>
      <w:r w:rsidRPr="0078679C">
        <w:rPr>
          <w:rFonts w:ascii="Garamond" w:hAnsi="Garamond"/>
          <w:b/>
          <w:bCs/>
          <w:sz w:val="24"/>
          <w:szCs w:val="24"/>
        </w:rPr>
        <w:t xml:space="preserve"> essere sottoscritta congiuntamente dalle imprese componenti il raggruppamento. </w:t>
      </w:r>
    </w:p>
    <w:p w14:paraId="5427CBE7" w14:textId="6BF82810" w:rsidR="00B72E2C" w:rsidRPr="0078679C" w:rsidRDefault="00F6367D" w:rsidP="00C13BDA">
      <w:pPr>
        <w:jc w:val="both"/>
        <w:rPr>
          <w:rFonts w:ascii="Garamond" w:hAnsi="Garamond"/>
          <w:b/>
          <w:bCs/>
          <w:color w:val="000000" w:themeColor="text1"/>
          <w:sz w:val="24"/>
          <w:szCs w:val="24"/>
        </w:rPr>
      </w:pPr>
      <w:r w:rsidRPr="0078679C">
        <w:rPr>
          <w:rFonts w:ascii="Garamond" w:hAnsi="Garamond"/>
          <w:b/>
          <w:bCs/>
          <w:color w:val="000000" w:themeColor="text1"/>
          <w:sz w:val="24"/>
          <w:szCs w:val="24"/>
        </w:rPr>
        <w:t xml:space="preserve">La Relazione tecnica </w:t>
      </w:r>
      <w:r w:rsidR="00DA357E" w:rsidRPr="0078679C">
        <w:rPr>
          <w:rFonts w:ascii="Garamond" w:hAnsi="Garamond"/>
          <w:b/>
          <w:bCs/>
          <w:color w:val="000000" w:themeColor="text1"/>
          <w:sz w:val="24"/>
          <w:szCs w:val="24"/>
        </w:rPr>
        <w:t>deve</w:t>
      </w:r>
      <w:r w:rsidRPr="0078679C">
        <w:rPr>
          <w:rFonts w:ascii="Garamond" w:hAnsi="Garamond"/>
          <w:b/>
          <w:bCs/>
          <w:color w:val="000000" w:themeColor="text1"/>
          <w:sz w:val="24"/>
          <w:szCs w:val="24"/>
        </w:rPr>
        <w:t xml:space="preserve"> essere presentata su fogli A4, con una numerazione</w:t>
      </w:r>
      <w:r w:rsidR="00C13BDA" w:rsidRPr="0078679C">
        <w:rPr>
          <w:rFonts w:ascii="Garamond" w:hAnsi="Garamond"/>
          <w:b/>
          <w:bCs/>
          <w:color w:val="000000" w:themeColor="text1"/>
          <w:sz w:val="24"/>
          <w:szCs w:val="24"/>
        </w:rPr>
        <w:t xml:space="preserve"> progressiva di pagine da 1 a </w:t>
      </w:r>
      <w:r w:rsidR="00543CF4" w:rsidRPr="0078679C">
        <w:rPr>
          <w:rFonts w:ascii="Garamond" w:hAnsi="Garamond"/>
          <w:b/>
          <w:bCs/>
          <w:color w:val="000000" w:themeColor="text1"/>
          <w:sz w:val="24"/>
          <w:szCs w:val="24"/>
        </w:rPr>
        <w:t>15</w:t>
      </w:r>
      <w:r w:rsidRPr="0078679C">
        <w:rPr>
          <w:rFonts w:ascii="Garamond" w:hAnsi="Garamond"/>
          <w:b/>
          <w:bCs/>
          <w:color w:val="000000" w:themeColor="text1"/>
          <w:sz w:val="24"/>
          <w:szCs w:val="24"/>
        </w:rPr>
        <w:t xml:space="preserve"> max; si precisa che pagine ulteriori alla </w:t>
      </w:r>
      <w:r w:rsidR="00543CF4" w:rsidRPr="0078679C">
        <w:rPr>
          <w:rFonts w:ascii="Garamond" w:hAnsi="Garamond"/>
          <w:b/>
          <w:bCs/>
          <w:color w:val="000000" w:themeColor="text1"/>
          <w:sz w:val="24"/>
          <w:szCs w:val="24"/>
        </w:rPr>
        <w:t>quindicesima</w:t>
      </w:r>
      <w:r w:rsidRPr="0078679C">
        <w:rPr>
          <w:rFonts w:ascii="Garamond" w:hAnsi="Garamond"/>
          <w:b/>
          <w:bCs/>
          <w:color w:val="000000" w:themeColor="text1"/>
          <w:sz w:val="24"/>
          <w:szCs w:val="24"/>
        </w:rPr>
        <w:t xml:space="preserve"> non saranno valutate dalla Commissione.</w:t>
      </w:r>
    </w:p>
    <w:p w14:paraId="15C64B5D" w14:textId="77777777" w:rsidR="00F6367D" w:rsidRPr="0078679C" w:rsidRDefault="00F6367D" w:rsidP="00C13BDA">
      <w:pPr>
        <w:jc w:val="both"/>
        <w:rPr>
          <w:rFonts w:ascii="Garamond" w:hAnsi="Garamond"/>
          <w:sz w:val="24"/>
          <w:szCs w:val="24"/>
        </w:rPr>
      </w:pPr>
      <w:r w:rsidRPr="0078679C">
        <w:rPr>
          <w:rFonts w:ascii="Garamond" w:hAnsi="Garamond"/>
          <w:sz w:val="24"/>
          <w:szCs w:val="24"/>
        </w:rPr>
        <w:t xml:space="preserve">Si fa presente che tutte le soluzioni/migliorie proposte </w:t>
      </w:r>
      <w:r w:rsidR="00DA357E" w:rsidRPr="0078679C">
        <w:rPr>
          <w:rFonts w:ascii="Garamond" w:hAnsi="Garamond"/>
          <w:sz w:val="24"/>
          <w:szCs w:val="24"/>
        </w:rPr>
        <w:t>devono</w:t>
      </w:r>
      <w:r w:rsidRPr="0078679C">
        <w:rPr>
          <w:rFonts w:ascii="Garamond" w:hAnsi="Garamond"/>
          <w:sz w:val="24"/>
          <w:szCs w:val="24"/>
        </w:rPr>
        <w:t xml:space="preserve"> essere nella piena disponibilità del concorren</w:t>
      </w:r>
      <w:r w:rsidR="00CB1595" w:rsidRPr="0078679C">
        <w:rPr>
          <w:rFonts w:ascii="Garamond" w:hAnsi="Garamond"/>
          <w:sz w:val="24"/>
          <w:szCs w:val="24"/>
        </w:rPr>
        <w:t>te all’atto dell’aggiudicazione.</w:t>
      </w:r>
    </w:p>
    <w:p w14:paraId="7345FE95" w14:textId="77777777" w:rsidR="00B72E2C" w:rsidRPr="0078679C" w:rsidRDefault="00F6367D" w:rsidP="00C13BDA">
      <w:pPr>
        <w:jc w:val="both"/>
        <w:rPr>
          <w:rFonts w:ascii="Garamond" w:hAnsi="Garamond"/>
          <w:sz w:val="24"/>
          <w:szCs w:val="24"/>
        </w:rPr>
      </w:pPr>
      <w:r w:rsidRPr="0078679C">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Pr="0078679C" w:rsidRDefault="00FB05B1">
      <w:pPr>
        <w:rPr>
          <w:rFonts w:ascii="Garamond" w:hAnsi="Garamond"/>
          <w:sz w:val="24"/>
          <w:szCs w:val="24"/>
        </w:rPr>
      </w:pPr>
      <w:r w:rsidRPr="0078679C">
        <w:rPr>
          <w:rFonts w:ascii="Garamond" w:hAnsi="Garamond"/>
          <w:sz w:val="24"/>
          <w:szCs w:val="24"/>
        </w:rPr>
        <w:br w:type="page"/>
      </w:r>
    </w:p>
    <w:p w14:paraId="62B40526" w14:textId="77777777" w:rsidR="00B72E2C" w:rsidRPr="0078679C" w:rsidRDefault="00B72E2C" w:rsidP="00C13BDA">
      <w:pPr>
        <w:jc w:val="both"/>
        <w:rPr>
          <w:rFonts w:ascii="Garamond" w:hAnsi="Garamond"/>
          <w:b/>
          <w:sz w:val="24"/>
          <w:szCs w:val="24"/>
        </w:rPr>
      </w:pPr>
      <w:r w:rsidRPr="0078679C">
        <w:rPr>
          <w:rFonts w:ascii="Garamond" w:hAnsi="Garamond"/>
          <w:b/>
          <w:sz w:val="24"/>
          <w:szCs w:val="24"/>
        </w:rPr>
        <w:lastRenderedPageBreak/>
        <w:t>2. SCHEMA DI RELAZIONE TECNICA</w:t>
      </w:r>
    </w:p>
    <w:p w14:paraId="2F366B8E" w14:textId="3395B7F6" w:rsidR="00C13BDA" w:rsidRPr="0078679C" w:rsidRDefault="00B72E2C" w:rsidP="00C13BDA">
      <w:pPr>
        <w:jc w:val="both"/>
        <w:rPr>
          <w:rFonts w:ascii="Garamond" w:hAnsi="Garamond"/>
          <w:b/>
          <w:sz w:val="24"/>
          <w:szCs w:val="24"/>
        </w:rPr>
      </w:pPr>
      <w:r w:rsidRPr="0078679C">
        <w:rPr>
          <w:rFonts w:ascii="Garamond" w:hAnsi="Garamond"/>
          <w:b/>
          <w:sz w:val="24"/>
          <w:szCs w:val="24"/>
        </w:rPr>
        <w:t xml:space="preserve">RELAZIONE TECNICA PER LA </w:t>
      </w:r>
      <w:r w:rsidR="00543CF4" w:rsidRPr="0078679C">
        <w:rPr>
          <w:rFonts w:ascii="Garamond" w:hAnsi="Garamond"/>
          <w:b/>
          <w:sz w:val="24"/>
          <w:szCs w:val="24"/>
        </w:rPr>
        <w:t xml:space="preserve">PROCEDURA TELEMATICA RISTRETTA SOPRA SOGLIA COMUNITARIA IN MODALITA’ ASP TRAMITE PIATTAFORMA WWW.ACQUISTINRETEPA.IT, DI CUI ALL’ART. 72 DEL D.LGS. 36/2023, PER L’ACQUISTO DI </w:t>
      </w:r>
      <w:r w:rsidR="00032C7F" w:rsidRPr="0078679C">
        <w:rPr>
          <w:rFonts w:ascii="Garamond" w:hAnsi="Garamond"/>
          <w:b/>
          <w:sz w:val="24"/>
          <w:szCs w:val="24"/>
        </w:rPr>
        <w:t>N. 6 LABORATORI CHIMICI MOBILI DOTATI DI APPARECCHIATURE TECNICO SCIENTIFICHE</w:t>
      </w:r>
      <w:r w:rsidR="00687917" w:rsidRPr="0078679C">
        <w:rPr>
          <w:rFonts w:ascii="Garamond" w:hAnsi="Garamond"/>
          <w:b/>
          <w:sz w:val="24"/>
          <w:szCs w:val="24"/>
        </w:rPr>
        <w:t>.</w:t>
      </w:r>
    </w:p>
    <w:p w14:paraId="55C8FDE0" w14:textId="389D0743" w:rsidR="00FB05B1" w:rsidRPr="0078679C" w:rsidRDefault="00FB05B1" w:rsidP="00314366">
      <w:pPr>
        <w:jc w:val="center"/>
        <w:rPr>
          <w:rFonts w:ascii="Garamond" w:hAnsi="Garamond"/>
          <w:b/>
          <w:bCs/>
          <w:sz w:val="24"/>
          <w:szCs w:val="24"/>
          <w:lang w:bidi="it-IT"/>
        </w:rPr>
      </w:pPr>
      <w:r w:rsidRPr="0078679C">
        <w:rPr>
          <w:rFonts w:ascii="Garamond" w:hAnsi="Garamond"/>
          <w:b/>
          <w:sz w:val="24"/>
          <w:szCs w:val="24"/>
        </w:rPr>
        <w:t xml:space="preserve">CIG </w:t>
      </w:r>
    </w:p>
    <w:p w14:paraId="1AC06BAB" w14:textId="77777777" w:rsidR="00F6367D" w:rsidRPr="0078679C" w:rsidRDefault="00F6367D" w:rsidP="00C13BDA">
      <w:pPr>
        <w:jc w:val="both"/>
        <w:rPr>
          <w:rFonts w:ascii="Garamond" w:hAnsi="Garamond"/>
          <w:sz w:val="24"/>
          <w:szCs w:val="24"/>
        </w:rPr>
      </w:pPr>
      <w:r w:rsidRPr="0078679C">
        <w:rPr>
          <w:rFonts w:ascii="Garamond" w:hAnsi="Garamond"/>
          <w:sz w:val="24"/>
          <w:szCs w:val="24"/>
        </w:rPr>
        <w:t>Il sottoscritto ………………………………………………………………….. legale rappresentante/procuratore generale o  speciale della ditta: …………………………………………………………………………………………………….  con sede legale in ………………………………………………………………………………………………………..Partiva Iva/ CF ::…………………………………………………………………………….</w:t>
      </w:r>
    </w:p>
    <w:p w14:paraId="62EF4B2C" w14:textId="77777777" w:rsidR="00F6367D" w:rsidRPr="0078679C" w:rsidRDefault="00F6367D" w:rsidP="00C13BDA">
      <w:pPr>
        <w:jc w:val="both"/>
        <w:rPr>
          <w:rFonts w:ascii="Garamond" w:hAnsi="Garamond"/>
          <w:sz w:val="24"/>
          <w:szCs w:val="24"/>
        </w:rPr>
      </w:pPr>
      <w:r w:rsidRPr="0078679C">
        <w:rPr>
          <w:rFonts w:ascii="Garamond" w:hAnsi="Garamond"/>
          <w:sz w:val="24"/>
          <w:szCs w:val="24"/>
        </w:rPr>
        <w:t>Consapevole delle sanzioni penali previste dall’art. 76 del DPR  n. 445/2000 per le ipotesi di falsità in atti e dichiarazioni mendaci,</w:t>
      </w:r>
    </w:p>
    <w:p w14:paraId="1123BED7" w14:textId="77777777" w:rsidR="00F6367D" w:rsidRPr="0078679C" w:rsidRDefault="00F6367D" w:rsidP="00C13BDA">
      <w:pPr>
        <w:jc w:val="both"/>
        <w:rPr>
          <w:rFonts w:ascii="Garamond" w:hAnsi="Garamond"/>
          <w:sz w:val="24"/>
          <w:szCs w:val="24"/>
        </w:rPr>
      </w:pPr>
      <w:r w:rsidRPr="0078679C">
        <w:rPr>
          <w:rFonts w:ascii="Garamond" w:hAnsi="Garamond"/>
          <w:sz w:val="24"/>
          <w:szCs w:val="24"/>
        </w:rPr>
        <w:t>nella propria qualità di :</w:t>
      </w:r>
    </w:p>
    <w:p w14:paraId="235CE824" w14:textId="77777777" w:rsidR="00F6367D" w:rsidRPr="0078679C" w:rsidRDefault="00F6367D" w:rsidP="00C13BDA">
      <w:pPr>
        <w:jc w:val="both"/>
        <w:rPr>
          <w:rFonts w:ascii="Garamond" w:hAnsi="Garamond"/>
          <w:sz w:val="24"/>
          <w:szCs w:val="24"/>
        </w:rPr>
      </w:pPr>
      <w:r w:rsidRPr="0078679C">
        <w:rPr>
          <w:rFonts w:ascii="Garamond" w:hAnsi="Garamond"/>
          <w:sz w:val="24"/>
          <w:szCs w:val="24"/>
        </w:rPr>
        <w:t>o</w:t>
      </w:r>
      <w:r w:rsidRPr="0078679C">
        <w:rPr>
          <w:rFonts w:ascii="Garamond" w:hAnsi="Garamond"/>
          <w:sz w:val="24"/>
          <w:szCs w:val="24"/>
        </w:rPr>
        <w:tab/>
        <w:t>Titolare o legale rappresentante</w:t>
      </w:r>
    </w:p>
    <w:p w14:paraId="3E428319" w14:textId="77777777" w:rsidR="00F6367D" w:rsidRPr="0078679C" w:rsidRDefault="00F6367D" w:rsidP="00C13BDA">
      <w:pPr>
        <w:jc w:val="both"/>
        <w:rPr>
          <w:rFonts w:ascii="Garamond" w:hAnsi="Garamond"/>
          <w:sz w:val="24"/>
          <w:szCs w:val="24"/>
        </w:rPr>
      </w:pPr>
      <w:r w:rsidRPr="0078679C">
        <w:rPr>
          <w:rFonts w:ascii="Garamond" w:hAnsi="Garamond"/>
          <w:sz w:val="24"/>
          <w:szCs w:val="24"/>
        </w:rPr>
        <w:t>o</w:t>
      </w:r>
      <w:r w:rsidRPr="0078679C">
        <w:rPr>
          <w:rFonts w:ascii="Garamond" w:hAnsi="Garamond"/>
          <w:sz w:val="24"/>
          <w:szCs w:val="24"/>
        </w:rPr>
        <w:tab/>
        <w:t xml:space="preserve">Procuratore generale o speciale </w:t>
      </w:r>
    </w:p>
    <w:p w14:paraId="18AC1DA4" w14:textId="77777777" w:rsidR="00F6367D" w:rsidRPr="0078679C" w:rsidRDefault="00F6367D" w:rsidP="00C13BDA">
      <w:pPr>
        <w:jc w:val="both"/>
        <w:rPr>
          <w:rFonts w:ascii="Garamond" w:hAnsi="Garamond"/>
          <w:sz w:val="24"/>
          <w:szCs w:val="24"/>
        </w:rPr>
      </w:pPr>
    </w:p>
    <w:p w14:paraId="1DF9E1F7" w14:textId="77777777" w:rsidR="00B72E2C" w:rsidRPr="0078679C" w:rsidRDefault="00F6367D" w:rsidP="00C13BDA">
      <w:pPr>
        <w:jc w:val="both"/>
        <w:rPr>
          <w:rFonts w:ascii="Garamond" w:hAnsi="Garamond"/>
          <w:b/>
          <w:sz w:val="24"/>
          <w:szCs w:val="24"/>
        </w:rPr>
      </w:pPr>
      <w:r w:rsidRPr="0078679C">
        <w:rPr>
          <w:rFonts w:ascii="Garamond" w:hAnsi="Garamond"/>
          <w:b/>
          <w:sz w:val="24"/>
          <w:szCs w:val="24"/>
        </w:rPr>
        <w:t>Propone quanto segue:</w:t>
      </w:r>
    </w:p>
    <w:p w14:paraId="165E7BDA" w14:textId="77777777" w:rsidR="00F6367D" w:rsidRPr="0078679C" w:rsidRDefault="00F6367D" w:rsidP="00C13BDA">
      <w:pPr>
        <w:jc w:val="both"/>
        <w:rPr>
          <w:rFonts w:ascii="Garamond" w:hAnsi="Garamond"/>
          <w:sz w:val="24"/>
          <w:szCs w:val="24"/>
        </w:rPr>
      </w:pPr>
    </w:p>
    <w:p w14:paraId="41C219BC" w14:textId="1D8802DB" w:rsidR="00494130" w:rsidRPr="0078679C" w:rsidRDefault="00B72E2C" w:rsidP="00543CF4">
      <w:pPr>
        <w:pStyle w:val="Paragrafoelenco"/>
        <w:numPr>
          <w:ilvl w:val="0"/>
          <w:numId w:val="10"/>
        </w:numPr>
        <w:ind w:left="426"/>
        <w:jc w:val="both"/>
        <w:rPr>
          <w:rFonts w:ascii="Garamond" w:hAnsi="Garamond"/>
          <w:sz w:val="24"/>
          <w:szCs w:val="24"/>
        </w:rPr>
      </w:pPr>
      <w:r w:rsidRPr="0078679C">
        <w:rPr>
          <w:rFonts w:ascii="Garamond" w:hAnsi="Garamond"/>
          <w:b/>
          <w:sz w:val="24"/>
          <w:szCs w:val="24"/>
        </w:rPr>
        <w:t>PRESENTAZIONE E DESCRIZIONE DELL'OFFERENTE</w:t>
      </w:r>
      <w:r w:rsidRPr="0078679C">
        <w:rPr>
          <w:rFonts w:ascii="Garamond" w:hAnsi="Garamond"/>
          <w:sz w:val="24"/>
          <w:szCs w:val="24"/>
        </w:rPr>
        <w:t xml:space="preserve"> </w:t>
      </w:r>
    </w:p>
    <w:p w14:paraId="4E621C56" w14:textId="77777777" w:rsidR="00B72E2C" w:rsidRPr="0078679C" w:rsidRDefault="00B72E2C" w:rsidP="00C13BDA">
      <w:pPr>
        <w:jc w:val="both"/>
        <w:rPr>
          <w:rFonts w:ascii="Garamond" w:hAnsi="Garamond"/>
          <w:i/>
          <w:sz w:val="24"/>
          <w:szCs w:val="24"/>
        </w:rPr>
      </w:pPr>
      <w:r w:rsidRPr="0078679C">
        <w:rPr>
          <w:rFonts w:ascii="Garamond" w:hAnsi="Garamond"/>
          <w:i/>
          <w:sz w:val="24"/>
          <w:szCs w:val="24"/>
        </w:rPr>
        <w:t>(compresa, in caso di RTI/Consorzi, la descrizione dell’organizzazione adottata per la distribuzione dei servizi/attività tra le aziende partecipanti)</w:t>
      </w:r>
    </w:p>
    <w:p w14:paraId="24E5DD52" w14:textId="77777777" w:rsidR="00494130" w:rsidRPr="0078679C" w:rsidRDefault="00494130" w:rsidP="00C13BDA">
      <w:pPr>
        <w:jc w:val="both"/>
        <w:rPr>
          <w:rFonts w:ascii="Garamond" w:hAnsi="Garamond"/>
          <w:sz w:val="24"/>
          <w:szCs w:val="24"/>
        </w:rPr>
      </w:pPr>
    </w:p>
    <w:p w14:paraId="2168509B" w14:textId="16C4103A" w:rsidR="000635C8" w:rsidRPr="0078679C" w:rsidRDefault="00543CF4" w:rsidP="00543CF4">
      <w:pPr>
        <w:pStyle w:val="Paragrafoelenco"/>
        <w:numPr>
          <w:ilvl w:val="0"/>
          <w:numId w:val="10"/>
        </w:numPr>
        <w:ind w:left="426"/>
        <w:jc w:val="both"/>
        <w:rPr>
          <w:rFonts w:ascii="Garamond" w:hAnsi="Garamond"/>
          <w:b/>
          <w:bCs/>
          <w:sz w:val="24"/>
          <w:szCs w:val="24"/>
        </w:rPr>
      </w:pPr>
      <w:r w:rsidRPr="0078679C">
        <w:rPr>
          <w:rFonts w:ascii="Garamond" w:hAnsi="Garamond"/>
          <w:b/>
          <w:bCs/>
          <w:sz w:val="24"/>
          <w:szCs w:val="24"/>
        </w:rPr>
        <w:t>CARATTERISTICHE DELLA STRUMENTAZIONE PROPOSTA</w:t>
      </w:r>
    </w:p>
    <w:p w14:paraId="39E91E87" w14:textId="455F2183" w:rsidR="00905D7F" w:rsidRPr="0078679C" w:rsidRDefault="00905D7F" w:rsidP="00C13BDA">
      <w:pPr>
        <w:jc w:val="both"/>
        <w:rPr>
          <w:rFonts w:ascii="Garamond" w:hAnsi="Garamond"/>
          <w:i/>
          <w:sz w:val="24"/>
          <w:szCs w:val="24"/>
        </w:rPr>
      </w:pPr>
      <w:r w:rsidRPr="0078679C">
        <w:rPr>
          <w:rFonts w:ascii="Garamond" w:hAnsi="Garamond"/>
          <w:i/>
          <w:sz w:val="24"/>
          <w:szCs w:val="24"/>
        </w:rPr>
        <w:t>La descrizione della strumentazione deve essere tale da permettere la facile identificazione</w:t>
      </w:r>
      <w:r w:rsidR="00623E6E" w:rsidRPr="0078679C">
        <w:rPr>
          <w:rFonts w:ascii="Garamond" w:hAnsi="Garamond"/>
          <w:i/>
          <w:sz w:val="24"/>
          <w:szCs w:val="24"/>
        </w:rPr>
        <w:t xml:space="preserve"> del soddisfacimento</w:t>
      </w:r>
      <w:r w:rsidRPr="0078679C">
        <w:rPr>
          <w:rFonts w:ascii="Garamond" w:hAnsi="Garamond"/>
          <w:i/>
          <w:sz w:val="24"/>
          <w:szCs w:val="24"/>
        </w:rPr>
        <w:t xml:space="preserve"> dei criteri minimi di cui a</w:t>
      </w:r>
      <w:r w:rsidR="00623E6E" w:rsidRPr="0078679C">
        <w:rPr>
          <w:rFonts w:ascii="Garamond" w:hAnsi="Garamond"/>
          <w:i/>
          <w:sz w:val="24"/>
          <w:szCs w:val="24"/>
        </w:rPr>
        <w:t>l</w:t>
      </w:r>
      <w:r w:rsidR="00032C7F" w:rsidRPr="0078679C">
        <w:rPr>
          <w:rFonts w:ascii="Garamond" w:hAnsi="Garamond"/>
          <w:i/>
          <w:sz w:val="24"/>
          <w:szCs w:val="24"/>
        </w:rPr>
        <w:t>l’art. 2</w:t>
      </w:r>
      <w:r w:rsidRPr="0078679C">
        <w:rPr>
          <w:rFonts w:ascii="Garamond" w:hAnsi="Garamond"/>
          <w:i/>
          <w:sz w:val="24"/>
          <w:szCs w:val="24"/>
        </w:rPr>
        <w:t xml:space="preserve"> de</w:t>
      </w:r>
      <w:r w:rsidR="00623E6E" w:rsidRPr="0078679C">
        <w:rPr>
          <w:rFonts w:ascii="Garamond" w:hAnsi="Garamond"/>
          <w:i/>
          <w:sz w:val="24"/>
          <w:szCs w:val="24"/>
        </w:rPr>
        <w:t>l</w:t>
      </w:r>
      <w:r w:rsidRPr="0078679C">
        <w:rPr>
          <w:rFonts w:ascii="Garamond" w:hAnsi="Garamond"/>
          <w:i/>
          <w:sz w:val="24"/>
          <w:szCs w:val="24"/>
        </w:rPr>
        <w:t xml:space="preserve"> capitolat</w:t>
      </w:r>
      <w:r w:rsidR="00623E6E" w:rsidRPr="0078679C">
        <w:rPr>
          <w:rFonts w:ascii="Garamond" w:hAnsi="Garamond"/>
          <w:i/>
          <w:sz w:val="24"/>
          <w:szCs w:val="24"/>
        </w:rPr>
        <w:t>o</w:t>
      </w:r>
      <w:r w:rsidRPr="0078679C">
        <w:rPr>
          <w:rFonts w:ascii="Garamond" w:hAnsi="Garamond"/>
          <w:i/>
          <w:sz w:val="24"/>
          <w:szCs w:val="24"/>
        </w:rPr>
        <w:t xml:space="preserve"> tecnic</w:t>
      </w:r>
      <w:r w:rsidR="00623E6E" w:rsidRPr="0078679C">
        <w:rPr>
          <w:rFonts w:ascii="Garamond" w:hAnsi="Garamond"/>
          <w:i/>
          <w:sz w:val="24"/>
          <w:szCs w:val="24"/>
        </w:rPr>
        <w:t>o</w:t>
      </w:r>
      <w:r w:rsidRPr="0078679C">
        <w:rPr>
          <w:rFonts w:ascii="Garamond" w:hAnsi="Garamond"/>
          <w:i/>
          <w:sz w:val="24"/>
          <w:szCs w:val="24"/>
        </w:rPr>
        <w:t xml:space="preserve">. </w:t>
      </w:r>
    </w:p>
    <w:p w14:paraId="440FC1D9" w14:textId="040CD431" w:rsidR="002258A0" w:rsidRPr="0078679C" w:rsidRDefault="002258A0" w:rsidP="00C13BDA">
      <w:pPr>
        <w:jc w:val="both"/>
        <w:rPr>
          <w:rFonts w:ascii="Garamond" w:hAnsi="Garamond"/>
          <w:i/>
          <w:sz w:val="24"/>
          <w:szCs w:val="24"/>
        </w:rPr>
      </w:pPr>
      <w:r w:rsidRPr="0078679C">
        <w:rPr>
          <w:rFonts w:ascii="Garamond" w:hAnsi="Garamond"/>
          <w:i/>
          <w:sz w:val="24"/>
          <w:szCs w:val="24"/>
        </w:rPr>
        <w:t>Se nel capitolato sono richieste specifiche caratteristiche prestazionali rispetto a metodi di analisi standardizzati, in questa sezione deve essere riportata la documentazione attestante l’idoneità della strumentazione proposta rispetto a tali requisiti.</w:t>
      </w:r>
    </w:p>
    <w:p w14:paraId="120279F1" w14:textId="77777777" w:rsidR="002258A0" w:rsidRPr="0078679C" w:rsidRDefault="002258A0" w:rsidP="00C13BDA">
      <w:pPr>
        <w:jc w:val="both"/>
        <w:rPr>
          <w:rFonts w:ascii="Garamond" w:hAnsi="Garamond"/>
          <w:i/>
          <w:sz w:val="24"/>
          <w:szCs w:val="24"/>
        </w:rPr>
      </w:pPr>
    </w:p>
    <w:p w14:paraId="19BB6B53" w14:textId="77777777" w:rsidR="00032C7F" w:rsidRPr="0078679C" w:rsidRDefault="00032C7F" w:rsidP="00C13BDA">
      <w:pPr>
        <w:jc w:val="both"/>
        <w:rPr>
          <w:rFonts w:ascii="Garamond" w:hAnsi="Garamond"/>
          <w:i/>
          <w:sz w:val="24"/>
          <w:szCs w:val="24"/>
        </w:rPr>
      </w:pPr>
    </w:p>
    <w:p w14:paraId="793B04DA" w14:textId="30DC8429" w:rsidR="00543CF4" w:rsidRPr="0078679C" w:rsidRDefault="00543CF4" w:rsidP="00543CF4">
      <w:pPr>
        <w:pStyle w:val="Paragrafoelenco"/>
        <w:numPr>
          <w:ilvl w:val="0"/>
          <w:numId w:val="10"/>
        </w:numPr>
        <w:ind w:left="426"/>
        <w:jc w:val="both"/>
        <w:rPr>
          <w:rFonts w:ascii="Garamond" w:hAnsi="Garamond"/>
          <w:b/>
          <w:bCs/>
          <w:sz w:val="24"/>
          <w:szCs w:val="24"/>
        </w:rPr>
      </w:pPr>
      <w:r w:rsidRPr="0078679C">
        <w:rPr>
          <w:rFonts w:ascii="Garamond" w:hAnsi="Garamond"/>
          <w:b/>
          <w:bCs/>
          <w:sz w:val="24"/>
          <w:szCs w:val="24"/>
        </w:rPr>
        <w:lastRenderedPageBreak/>
        <w:t>OFFERTA TECNICA DELL’OPERATORE ECONOMICO RELATIVAMENTE AI CRITERI TABELLARI SUL SISTEMA</w:t>
      </w:r>
    </w:p>
    <w:p w14:paraId="13BB7646" w14:textId="30126EE2" w:rsidR="00281A3D" w:rsidRPr="0078679C" w:rsidRDefault="00281A3D" w:rsidP="00543CF4">
      <w:pPr>
        <w:jc w:val="both"/>
        <w:rPr>
          <w:rFonts w:ascii="Garamond" w:hAnsi="Garamond"/>
          <w:i/>
          <w:sz w:val="24"/>
          <w:szCs w:val="24"/>
        </w:rPr>
      </w:pPr>
      <w:r w:rsidRPr="0078679C">
        <w:rPr>
          <w:rFonts w:ascii="Garamond" w:hAnsi="Garamond"/>
          <w:i/>
          <w:sz w:val="24"/>
          <w:szCs w:val="24"/>
        </w:rPr>
        <w:t xml:space="preserve">In questo paragrafo vengono inserite ed esplicitate, separate e riconoscibili, le caratteristiche migliorative tabellari specificate nella Tabella </w:t>
      </w:r>
      <w:r w:rsidR="00032C7F" w:rsidRPr="0078679C">
        <w:rPr>
          <w:rFonts w:ascii="Garamond" w:hAnsi="Garamond"/>
          <w:i/>
          <w:sz w:val="24"/>
          <w:szCs w:val="24"/>
        </w:rPr>
        <w:t>alla pagina 1</w:t>
      </w:r>
      <w:r w:rsidR="00F72DE1" w:rsidRPr="0078679C">
        <w:rPr>
          <w:rFonts w:ascii="Garamond" w:hAnsi="Garamond"/>
          <w:i/>
          <w:sz w:val="24"/>
          <w:szCs w:val="24"/>
        </w:rPr>
        <w:t>1</w:t>
      </w:r>
      <w:r w:rsidRPr="0078679C">
        <w:rPr>
          <w:rFonts w:ascii="Garamond" w:hAnsi="Garamond"/>
          <w:i/>
          <w:sz w:val="24"/>
          <w:szCs w:val="24"/>
        </w:rPr>
        <w:t xml:space="preserve"> del capitolato.</w:t>
      </w:r>
    </w:p>
    <w:p w14:paraId="26603D5A" w14:textId="77932AAC" w:rsidR="000C45C9" w:rsidRPr="0078679C" w:rsidRDefault="004E144A" w:rsidP="00543CF4">
      <w:pPr>
        <w:jc w:val="both"/>
        <w:rPr>
          <w:rFonts w:ascii="Garamond" w:hAnsi="Garamond"/>
          <w:i/>
          <w:sz w:val="24"/>
          <w:szCs w:val="24"/>
        </w:rPr>
      </w:pPr>
      <w:r w:rsidRPr="0078679C">
        <w:rPr>
          <w:rFonts w:ascii="Garamond" w:hAnsi="Garamond"/>
          <w:i/>
          <w:sz w:val="24"/>
          <w:szCs w:val="24"/>
        </w:rPr>
        <w:t>In questa parte sono</w:t>
      </w:r>
      <w:r w:rsidR="000C45C9" w:rsidRPr="0078679C">
        <w:rPr>
          <w:rFonts w:ascii="Garamond" w:hAnsi="Garamond"/>
          <w:i/>
          <w:sz w:val="24"/>
          <w:szCs w:val="24"/>
        </w:rPr>
        <w:t xml:space="preserve"> anche</w:t>
      </w:r>
      <w:r w:rsidRPr="0078679C">
        <w:rPr>
          <w:rFonts w:ascii="Garamond" w:hAnsi="Garamond"/>
          <w:i/>
          <w:sz w:val="24"/>
          <w:szCs w:val="24"/>
        </w:rPr>
        <w:t xml:space="preserve"> inserite le caratteristiche della fornitura legate a quanto previsto dal</w:t>
      </w:r>
      <w:r w:rsidR="00032C7F" w:rsidRPr="0078679C">
        <w:rPr>
          <w:rFonts w:ascii="Garamond" w:hAnsi="Garamond"/>
          <w:i/>
          <w:sz w:val="24"/>
          <w:szCs w:val="24"/>
        </w:rPr>
        <w:t>l’art.</w:t>
      </w:r>
      <w:r w:rsidRPr="0078679C">
        <w:rPr>
          <w:rFonts w:ascii="Garamond" w:hAnsi="Garamond"/>
          <w:i/>
          <w:sz w:val="24"/>
          <w:szCs w:val="24"/>
        </w:rPr>
        <w:t xml:space="preserve"> </w:t>
      </w:r>
      <w:r w:rsidR="00032C7F" w:rsidRPr="0078679C">
        <w:rPr>
          <w:rFonts w:ascii="Garamond" w:hAnsi="Garamond"/>
          <w:i/>
          <w:sz w:val="24"/>
          <w:szCs w:val="24"/>
        </w:rPr>
        <w:t>2.1</w:t>
      </w:r>
      <w:r w:rsidRPr="0078679C">
        <w:rPr>
          <w:rFonts w:ascii="Garamond" w:hAnsi="Garamond"/>
          <w:i/>
          <w:sz w:val="24"/>
          <w:szCs w:val="24"/>
        </w:rPr>
        <w:t xml:space="preserve"> del Capitolato in termini di garanzia e manutenzione full risk. L’offerta deve indicare in breve le modalità previste per l’esecuzione del servizio di garanzia illustrando le modalità pratiche del servizio (ad esempio, la quantità di personale dedicato agli interventi tecnici, la presenza di ambienti software dedicati ecc.).</w:t>
      </w:r>
      <w:r w:rsidR="000C45C9" w:rsidRPr="0078679C">
        <w:rPr>
          <w:rFonts w:ascii="Garamond" w:hAnsi="Garamond"/>
          <w:i/>
          <w:sz w:val="24"/>
          <w:szCs w:val="24"/>
        </w:rPr>
        <w:t xml:space="preserve"> Lì dove inseriti tra i criteri tabellari, i periodi ulteriori di garanzia si intendono aventi tutte le caratteristiche di cui al</w:t>
      </w:r>
      <w:r w:rsidR="00032C7F" w:rsidRPr="0078679C">
        <w:rPr>
          <w:rFonts w:ascii="Garamond" w:hAnsi="Garamond"/>
          <w:i/>
          <w:sz w:val="24"/>
          <w:szCs w:val="24"/>
        </w:rPr>
        <w:t>l’art. 2.1</w:t>
      </w:r>
      <w:r w:rsidR="000C45C9" w:rsidRPr="0078679C">
        <w:rPr>
          <w:rFonts w:ascii="Garamond" w:hAnsi="Garamond"/>
          <w:i/>
          <w:sz w:val="24"/>
          <w:szCs w:val="24"/>
        </w:rPr>
        <w:t xml:space="preserve"> del Capitolato.</w:t>
      </w:r>
    </w:p>
    <w:p w14:paraId="7B9832BD" w14:textId="0F8B6444" w:rsidR="00012D89" w:rsidRPr="0078679C" w:rsidRDefault="004E144A" w:rsidP="00543CF4">
      <w:pPr>
        <w:jc w:val="both"/>
        <w:rPr>
          <w:rFonts w:ascii="Garamond" w:hAnsi="Garamond"/>
          <w:i/>
          <w:sz w:val="24"/>
          <w:szCs w:val="24"/>
        </w:rPr>
      </w:pPr>
      <w:r w:rsidRPr="0078679C">
        <w:rPr>
          <w:rFonts w:ascii="Garamond" w:hAnsi="Garamond"/>
          <w:i/>
          <w:sz w:val="24"/>
          <w:szCs w:val="24"/>
        </w:rPr>
        <w:t>Vanno inserit</w:t>
      </w:r>
      <w:r w:rsidR="000C45C9" w:rsidRPr="0078679C">
        <w:rPr>
          <w:rFonts w:ascii="Garamond" w:hAnsi="Garamond"/>
          <w:i/>
          <w:sz w:val="24"/>
          <w:szCs w:val="24"/>
        </w:rPr>
        <w:t>e, inoltr</w:t>
      </w:r>
      <w:r w:rsidRPr="0078679C">
        <w:rPr>
          <w:rFonts w:ascii="Garamond" w:hAnsi="Garamond"/>
          <w:i/>
          <w:sz w:val="24"/>
          <w:szCs w:val="24"/>
        </w:rPr>
        <w:t>e</w:t>
      </w:r>
      <w:r w:rsidR="000C45C9" w:rsidRPr="0078679C">
        <w:rPr>
          <w:rFonts w:ascii="Garamond" w:hAnsi="Garamond"/>
          <w:i/>
          <w:sz w:val="24"/>
          <w:szCs w:val="24"/>
        </w:rPr>
        <w:t>,</w:t>
      </w:r>
      <w:r w:rsidRPr="0078679C">
        <w:rPr>
          <w:rFonts w:ascii="Garamond" w:hAnsi="Garamond"/>
          <w:i/>
          <w:sz w:val="24"/>
          <w:szCs w:val="24"/>
        </w:rPr>
        <w:t xml:space="preserve"> le proposte relative all’attività di formazione previst</w:t>
      </w:r>
      <w:r w:rsidR="00032C7F" w:rsidRPr="0078679C">
        <w:rPr>
          <w:rFonts w:ascii="Garamond" w:hAnsi="Garamond"/>
          <w:i/>
          <w:sz w:val="24"/>
          <w:szCs w:val="24"/>
        </w:rPr>
        <w:t>e</w:t>
      </w:r>
      <w:r w:rsidRPr="0078679C">
        <w:rPr>
          <w:rFonts w:ascii="Garamond" w:hAnsi="Garamond"/>
          <w:i/>
          <w:sz w:val="24"/>
          <w:szCs w:val="24"/>
        </w:rPr>
        <w:t xml:space="preserve"> dal</w:t>
      </w:r>
      <w:r w:rsidR="00032C7F" w:rsidRPr="0078679C">
        <w:rPr>
          <w:rFonts w:ascii="Garamond" w:hAnsi="Garamond"/>
          <w:i/>
          <w:sz w:val="24"/>
          <w:szCs w:val="24"/>
        </w:rPr>
        <w:t>l’art.2.2</w:t>
      </w:r>
      <w:r w:rsidRPr="0078679C">
        <w:rPr>
          <w:rFonts w:ascii="Garamond" w:hAnsi="Garamond"/>
          <w:i/>
          <w:sz w:val="24"/>
          <w:szCs w:val="24"/>
        </w:rPr>
        <w:t xml:space="preserve"> del Capitolato</w:t>
      </w:r>
      <w:r w:rsidR="00EB12CA" w:rsidRPr="0078679C">
        <w:rPr>
          <w:rFonts w:ascii="Garamond" w:hAnsi="Garamond"/>
          <w:i/>
          <w:sz w:val="24"/>
          <w:szCs w:val="24"/>
        </w:rPr>
        <w:t xml:space="preserve"> e le relative modalità di svolgimento</w:t>
      </w:r>
      <w:r w:rsidRPr="0078679C">
        <w:rPr>
          <w:rFonts w:ascii="Garamond" w:hAnsi="Garamond"/>
          <w:i/>
          <w:sz w:val="24"/>
          <w:szCs w:val="24"/>
        </w:rPr>
        <w:t>. Devono essere presenti le indicazioni minime obbligatorie come da Capitolato</w:t>
      </w:r>
      <w:r w:rsidR="00012D89" w:rsidRPr="0078679C">
        <w:rPr>
          <w:rFonts w:ascii="Garamond" w:hAnsi="Garamond"/>
          <w:i/>
          <w:sz w:val="24"/>
          <w:szCs w:val="24"/>
        </w:rPr>
        <w:t>.</w:t>
      </w:r>
    </w:p>
    <w:p w14:paraId="767A9A44" w14:textId="24335310" w:rsidR="00543CF4" w:rsidRPr="0078679C" w:rsidRDefault="00543CF4" w:rsidP="00543CF4">
      <w:pPr>
        <w:jc w:val="both"/>
        <w:rPr>
          <w:rFonts w:ascii="Garamond" w:hAnsi="Garamond"/>
          <w:i/>
          <w:sz w:val="24"/>
          <w:szCs w:val="24"/>
        </w:rPr>
      </w:pPr>
      <w:r w:rsidRPr="0078679C">
        <w:rPr>
          <w:rFonts w:ascii="Garamond" w:hAnsi="Garamond"/>
          <w:i/>
          <w:sz w:val="24"/>
          <w:szCs w:val="24"/>
        </w:rPr>
        <w:t>Nell’inserimento dell’offerta sul Sistema, l’operatore economico deve valorizzare, a conferma di quanto indicato nella scheda d’offerta tecnica ivi presentata in forma documentale, le caratteristiche tabellari del</w:t>
      </w:r>
      <w:r w:rsidR="00F86C32" w:rsidRPr="0078679C">
        <w:rPr>
          <w:rFonts w:ascii="Garamond" w:hAnsi="Garamond"/>
          <w:i/>
          <w:sz w:val="24"/>
          <w:szCs w:val="24"/>
        </w:rPr>
        <w:t>la fornitura</w:t>
      </w:r>
      <w:r w:rsidRPr="0078679C">
        <w:rPr>
          <w:rFonts w:ascii="Garamond" w:hAnsi="Garamond"/>
          <w:i/>
          <w:sz w:val="24"/>
          <w:szCs w:val="24"/>
        </w:rPr>
        <w:t xml:space="preserve"> di cui alla tabella nel par. 1</w:t>
      </w:r>
      <w:r w:rsidR="00032C7F" w:rsidRPr="0078679C">
        <w:rPr>
          <w:rFonts w:ascii="Garamond" w:hAnsi="Garamond"/>
          <w:i/>
          <w:sz w:val="24"/>
          <w:szCs w:val="24"/>
        </w:rPr>
        <w:t>7</w:t>
      </w:r>
      <w:r w:rsidRPr="0078679C">
        <w:rPr>
          <w:rFonts w:ascii="Garamond" w:hAnsi="Garamond"/>
          <w:i/>
          <w:sz w:val="24"/>
          <w:szCs w:val="24"/>
        </w:rPr>
        <w:t>.1 del disciplinare di gara, di seguito riportata.</w:t>
      </w:r>
    </w:p>
    <w:tbl>
      <w:tblPr>
        <w:tblW w:w="4578" w:type="pct"/>
        <w:jc w:val="center"/>
        <w:tblCellMar>
          <w:left w:w="70" w:type="dxa"/>
          <w:right w:w="70" w:type="dxa"/>
        </w:tblCellMar>
        <w:tblLook w:val="04A0" w:firstRow="1" w:lastRow="0" w:firstColumn="1" w:lastColumn="0" w:noHBand="0" w:noVBand="1"/>
      </w:tblPr>
      <w:tblGrid>
        <w:gridCol w:w="4681"/>
        <w:gridCol w:w="1590"/>
        <w:gridCol w:w="742"/>
        <w:gridCol w:w="734"/>
        <w:gridCol w:w="907"/>
        <w:gridCol w:w="95"/>
        <w:gridCol w:w="76"/>
      </w:tblGrid>
      <w:tr w:rsidR="00F86C32" w:rsidRPr="0078679C" w14:paraId="53BF3246" w14:textId="77777777" w:rsidTr="00032C7F">
        <w:trPr>
          <w:trHeight w:val="20"/>
          <w:jc w:val="center"/>
        </w:trPr>
        <w:tc>
          <w:tcPr>
            <w:tcW w:w="2652" w:type="pct"/>
            <w:tcBorders>
              <w:top w:val="nil"/>
              <w:left w:val="nil"/>
              <w:bottom w:val="nil"/>
              <w:right w:val="nil"/>
            </w:tcBorders>
            <w:shd w:val="clear" w:color="auto" w:fill="auto"/>
            <w:vAlign w:val="center"/>
            <w:hideMark/>
          </w:tcPr>
          <w:p w14:paraId="48C82754" w14:textId="77777777" w:rsidR="00543CF4" w:rsidRPr="0078679C" w:rsidRDefault="00543CF4" w:rsidP="003226E6">
            <w:pPr>
              <w:spacing w:line="240" w:lineRule="auto"/>
              <w:rPr>
                <w:rFonts w:ascii="Garamond" w:hAnsi="Garamond" w:cstheme="minorHAnsi"/>
                <w:b/>
                <w:bCs/>
                <w:sz w:val="26"/>
                <w:szCs w:val="26"/>
                <w:lang w:eastAsia="it-IT"/>
              </w:rPr>
            </w:pPr>
          </w:p>
        </w:tc>
        <w:tc>
          <w:tcPr>
            <w:tcW w:w="1737" w:type="pct"/>
            <w:gridSpan w:val="3"/>
            <w:tcBorders>
              <w:top w:val="nil"/>
              <w:left w:val="nil"/>
              <w:bottom w:val="nil"/>
              <w:right w:val="nil"/>
            </w:tcBorders>
            <w:shd w:val="clear" w:color="auto" w:fill="auto"/>
            <w:noWrap/>
            <w:vAlign w:val="center"/>
            <w:hideMark/>
          </w:tcPr>
          <w:p w14:paraId="4199A372" w14:textId="77777777" w:rsidR="00543CF4" w:rsidRPr="0078679C" w:rsidRDefault="00543CF4" w:rsidP="003226E6">
            <w:pPr>
              <w:spacing w:line="240" w:lineRule="auto"/>
              <w:jc w:val="center"/>
              <w:rPr>
                <w:rFonts w:ascii="Garamond" w:hAnsi="Garamond" w:cstheme="minorHAnsi"/>
                <w:sz w:val="26"/>
                <w:szCs w:val="26"/>
                <w:lang w:eastAsia="it-IT"/>
              </w:rPr>
            </w:pPr>
          </w:p>
        </w:tc>
        <w:tc>
          <w:tcPr>
            <w:tcW w:w="514" w:type="pct"/>
            <w:tcBorders>
              <w:top w:val="nil"/>
              <w:left w:val="nil"/>
              <w:bottom w:val="nil"/>
              <w:right w:val="nil"/>
            </w:tcBorders>
          </w:tcPr>
          <w:p w14:paraId="3E2035C4" w14:textId="77777777" w:rsidR="00543CF4" w:rsidRPr="0078679C" w:rsidRDefault="00543CF4" w:rsidP="003226E6">
            <w:pPr>
              <w:spacing w:line="240" w:lineRule="auto"/>
              <w:jc w:val="center"/>
              <w:rPr>
                <w:rFonts w:ascii="Garamond" w:hAnsi="Garamond" w:cstheme="minorHAnsi"/>
                <w:sz w:val="26"/>
                <w:szCs w:val="26"/>
                <w:lang w:eastAsia="it-IT"/>
              </w:rPr>
            </w:pPr>
          </w:p>
        </w:tc>
        <w:tc>
          <w:tcPr>
            <w:tcW w:w="97" w:type="pct"/>
            <w:gridSpan w:val="2"/>
            <w:tcBorders>
              <w:top w:val="nil"/>
              <w:left w:val="nil"/>
              <w:bottom w:val="nil"/>
              <w:right w:val="nil"/>
            </w:tcBorders>
            <w:shd w:val="clear" w:color="auto" w:fill="auto"/>
            <w:noWrap/>
            <w:vAlign w:val="center"/>
            <w:hideMark/>
          </w:tcPr>
          <w:p w14:paraId="74BB6283" w14:textId="77777777" w:rsidR="00543CF4" w:rsidRPr="0078679C" w:rsidRDefault="00543CF4" w:rsidP="003226E6">
            <w:pPr>
              <w:spacing w:line="240" w:lineRule="auto"/>
              <w:jc w:val="center"/>
              <w:rPr>
                <w:rFonts w:ascii="Garamond" w:hAnsi="Garamond" w:cstheme="minorHAnsi"/>
                <w:sz w:val="26"/>
                <w:szCs w:val="26"/>
                <w:lang w:eastAsia="it-IT"/>
              </w:rPr>
            </w:pPr>
          </w:p>
        </w:tc>
      </w:tr>
      <w:tr w:rsidR="00F86C32" w:rsidRPr="0078679C" w14:paraId="67CCF0D2" w14:textId="77777777" w:rsidTr="00032C7F">
        <w:trPr>
          <w:gridAfter w:val="1"/>
          <w:wAfter w:w="43" w:type="pct"/>
          <w:trHeight w:val="397"/>
          <w:jc w:val="center"/>
        </w:trPr>
        <w:tc>
          <w:tcPr>
            <w:tcW w:w="355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779905" w14:textId="77777777" w:rsidR="00032C7F" w:rsidRPr="0078679C" w:rsidRDefault="00032C7F" w:rsidP="00032C7F">
            <w:pPr>
              <w:spacing w:line="240" w:lineRule="auto"/>
              <w:jc w:val="center"/>
              <w:rPr>
                <w:rFonts w:ascii="Garamond" w:hAnsi="Garamond" w:cstheme="minorHAnsi"/>
                <w:b/>
                <w:sz w:val="26"/>
                <w:szCs w:val="26"/>
                <w:lang w:eastAsia="it-IT"/>
              </w:rPr>
            </w:pPr>
            <w:r w:rsidRPr="0078679C">
              <w:rPr>
                <w:rFonts w:ascii="Garamond" w:hAnsi="Garamond" w:cstheme="minorHAnsi"/>
                <w:b/>
                <w:sz w:val="26"/>
                <w:szCs w:val="26"/>
                <w:lang w:eastAsia="it-IT"/>
              </w:rPr>
              <w:t>CARATTERISTICHE TECNICHE MIGLIORATIVE</w:t>
            </w:r>
          </w:p>
          <w:p w14:paraId="0D97F492" w14:textId="1636430A" w:rsidR="00543CF4" w:rsidRPr="0078679C" w:rsidRDefault="00032C7F" w:rsidP="00032C7F">
            <w:pPr>
              <w:spacing w:line="240" w:lineRule="auto"/>
              <w:jc w:val="center"/>
              <w:rPr>
                <w:rFonts w:ascii="Garamond" w:hAnsi="Garamond"/>
                <w:sz w:val="26"/>
                <w:szCs w:val="26"/>
                <w:lang w:eastAsia="it-IT"/>
              </w:rPr>
            </w:pPr>
            <w:r w:rsidRPr="0078679C">
              <w:rPr>
                <w:rFonts w:ascii="Garamond" w:hAnsi="Garamond" w:cstheme="minorHAnsi"/>
                <w:b/>
                <w:sz w:val="26"/>
                <w:szCs w:val="26"/>
                <w:lang w:eastAsia="it-IT"/>
              </w:rPr>
              <w:t>TABELLARI</w:t>
            </w:r>
          </w:p>
        </w:tc>
        <w:tc>
          <w:tcPr>
            <w:tcW w:w="420" w:type="pct"/>
            <w:tcBorders>
              <w:top w:val="single" w:sz="4" w:space="0" w:color="auto"/>
              <w:left w:val="nil"/>
              <w:bottom w:val="single" w:sz="4" w:space="0" w:color="auto"/>
              <w:right w:val="single" w:sz="4" w:space="0" w:color="auto"/>
            </w:tcBorders>
            <w:shd w:val="clear" w:color="auto" w:fill="C6D9F1" w:themeFill="text2" w:themeFillTint="33"/>
            <w:noWrap/>
            <w:vAlign w:val="center"/>
          </w:tcPr>
          <w:p w14:paraId="198E32D3" w14:textId="77777777" w:rsidR="00543CF4" w:rsidRPr="0078679C" w:rsidRDefault="00543CF4" w:rsidP="003226E6">
            <w:pPr>
              <w:spacing w:line="240" w:lineRule="auto"/>
              <w:jc w:val="center"/>
              <w:rPr>
                <w:rFonts w:ascii="Garamond" w:hAnsi="Garamond" w:cstheme="minorHAnsi"/>
                <w:sz w:val="26"/>
                <w:szCs w:val="26"/>
                <w:lang w:eastAsia="it-IT"/>
              </w:rPr>
            </w:pPr>
            <w:r w:rsidRPr="0078679C">
              <w:rPr>
                <w:rFonts w:ascii="Garamond" w:hAnsi="Garamond" w:cstheme="minorHAnsi"/>
                <w:b/>
                <w:sz w:val="26"/>
                <w:szCs w:val="26"/>
                <w:lang w:eastAsia="it-IT"/>
              </w:rPr>
              <w:t>Punti</w:t>
            </w:r>
          </w:p>
        </w:tc>
        <w:tc>
          <w:tcPr>
            <w:tcW w:w="984" w:type="pct"/>
            <w:gridSpan w:val="3"/>
            <w:tcBorders>
              <w:top w:val="single" w:sz="4" w:space="0" w:color="auto"/>
              <w:left w:val="nil"/>
              <w:bottom w:val="single" w:sz="4" w:space="0" w:color="auto"/>
              <w:right w:val="single" w:sz="4" w:space="0" w:color="auto"/>
            </w:tcBorders>
            <w:shd w:val="clear" w:color="auto" w:fill="C6D9F1" w:themeFill="text2" w:themeFillTint="33"/>
          </w:tcPr>
          <w:p w14:paraId="7F407B73" w14:textId="4CA6793F" w:rsidR="00543CF4" w:rsidRPr="0078679C" w:rsidRDefault="00F86C32" w:rsidP="003226E6">
            <w:pPr>
              <w:spacing w:line="240" w:lineRule="auto"/>
              <w:jc w:val="center"/>
              <w:rPr>
                <w:rFonts w:ascii="Garamond" w:hAnsi="Garamond" w:cstheme="minorHAnsi"/>
                <w:b/>
                <w:sz w:val="26"/>
                <w:szCs w:val="26"/>
                <w:lang w:eastAsia="it-IT"/>
              </w:rPr>
            </w:pPr>
            <w:r w:rsidRPr="0078679C">
              <w:rPr>
                <w:rFonts w:ascii="Garamond" w:hAnsi="Garamond" w:cstheme="minorHAnsi"/>
                <w:b/>
                <w:sz w:val="26"/>
                <w:szCs w:val="26"/>
                <w:lang w:eastAsia="it-IT"/>
              </w:rPr>
              <w:t>Punteggio Tabellare autodichiarato</w:t>
            </w:r>
          </w:p>
        </w:tc>
      </w:tr>
      <w:tr w:rsidR="006F1A02" w:rsidRPr="0078679C" w14:paraId="7A07ED51" w14:textId="77777777" w:rsidTr="00032C7F">
        <w:trPr>
          <w:gridAfter w:val="1"/>
          <w:wAfter w:w="43" w:type="pct"/>
          <w:trHeight w:val="20"/>
          <w:jc w:val="center"/>
        </w:trPr>
        <w:tc>
          <w:tcPr>
            <w:tcW w:w="2652" w:type="pct"/>
            <w:tcBorders>
              <w:top w:val="nil"/>
              <w:left w:val="single" w:sz="4" w:space="0" w:color="auto"/>
              <w:bottom w:val="single" w:sz="4" w:space="0" w:color="auto"/>
              <w:right w:val="single" w:sz="4" w:space="0" w:color="auto"/>
            </w:tcBorders>
            <w:shd w:val="clear" w:color="auto" w:fill="auto"/>
            <w:vAlign w:val="center"/>
          </w:tcPr>
          <w:p w14:paraId="3C3FA6D8" w14:textId="71CAD589"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Fornitura di una batteria con capacità maggiore di 6kW</w:t>
            </w:r>
          </w:p>
        </w:tc>
        <w:tc>
          <w:tcPr>
            <w:tcW w:w="901" w:type="pct"/>
            <w:tcBorders>
              <w:top w:val="nil"/>
              <w:left w:val="single" w:sz="4" w:space="0" w:color="auto"/>
              <w:bottom w:val="single" w:sz="4" w:space="0" w:color="auto"/>
              <w:right w:val="single" w:sz="4" w:space="0" w:color="auto"/>
            </w:tcBorders>
            <w:shd w:val="clear" w:color="auto" w:fill="auto"/>
            <w:vAlign w:val="center"/>
          </w:tcPr>
          <w:p w14:paraId="70F07E4A" w14:textId="0D6ED9EA" w:rsidR="006F1A02" w:rsidRPr="0078679C" w:rsidRDefault="006F1A02" w:rsidP="006F1A02">
            <w:pPr>
              <w:spacing w:line="240" w:lineRule="auto"/>
              <w:jc w:val="center"/>
              <w:rPr>
                <w:rFonts w:ascii="Garamond" w:hAnsi="Garamond"/>
                <w:sz w:val="26"/>
                <w:szCs w:val="26"/>
                <w:lang w:eastAsia="it-IT"/>
              </w:rPr>
            </w:pPr>
          </w:p>
        </w:tc>
        <w:tc>
          <w:tcPr>
            <w:tcW w:w="420" w:type="pct"/>
            <w:tcBorders>
              <w:top w:val="nil"/>
              <w:left w:val="nil"/>
              <w:bottom w:val="single" w:sz="4" w:space="0" w:color="auto"/>
              <w:right w:val="single" w:sz="4" w:space="0" w:color="auto"/>
            </w:tcBorders>
            <w:shd w:val="clear" w:color="auto" w:fill="auto"/>
            <w:noWrap/>
            <w:vAlign w:val="center"/>
          </w:tcPr>
          <w:p w14:paraId="5529C435" w14:textId="5D6CE918"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 xml:space="preserve">5 </w:t>
            </w:r>
          </w:p>
        </w:tc>
        <w:tc>
          <w:tcPr>
            <w:tcW w:w="984" w:type="pct"/>
            <w:gridSpan w:val="3"/>
            <w:tcBorders>
              <w:top w:val="nil"/>
              <w:left w:val="nil"/>
              <w:bottom w:val="single" w:sz="4" w:space="0" w:color="auto"/>
              <w:right w:val="single" w:sz="4" w:space="0" w:color="auto"/>
            </w:tcBorders>
          </w:tcPr>
          <w:p w14:paraId="3E5911AD" w14:textId="1938DA79" w:rsidR="006F1A02" w:rsidRPr="0078679C" w:rsidRDefault="006F1A02" w:rsidP="006F1A02">
            <w:pPr>
              <w:spacing w:line="240" w:lineRule="auto"/>
              <w:jc w:val="center"/>
              <w:rPr>
                <w:rFonts w:ascii="Garamond" w:eastAsia="Calibri" w:hAnsi="Garamond" w:cs="Calibri"/>
                <w:b/>
                <w:bCs/>
                <w:sz w:val="26"/>
                <w:szCs w:val="26"/>
                <w:lang w:eastAsia="it-IT"/>
              </w:rPr>
            </w:pPr>
          </w:p>
        </w:tc>
      </w:tr>
      <w:tr w:rsidR="006F1A02" w:rsidRPr="0078679C" w14:paraId="78A5E82B" w14:textId="77777777" w:rsidTr="00032C7F">
        <w:trPr>
          <w:gridAfter w:val="1"/>
          <w:wAfter w:w="43" w:type="pct"/>
          <w:trHeight w:val="20"/>
          <w:jc w:val="center"/>
        </w:trPr>
        <w:tc>
          <w:tcPr>
            <w:tcW w:w="2652" w:type="pct"/>
            <w:tcBorders>
              <w:top w:val="nil"/>
              <w:left w:val="single" w:sz="4" w:space="0" w:color="auto"/>
              <w:bottom w:val="single" w:sz="4" w:space="0" w:color="auto"/>
              <w:right w:val="single" w:sz="4" w:space="0" w:color="auto"/>
            </w:tcBorders>
            <w:shd w:val="clear" w:color="auto" w:fill="auto"/>
            <w:vAlign w:val="center"/>
          </w:tcPr>
          <w:p w14:paraId="1D28239B" w14:textId="7D91F7F5"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Aggiornamenti gratuiti del software degli strumenti (FT-IR – Firmware Bilancia analitica) per 5 anni</w:t>
            </w:r>
          </w:p>
        </w:tc>
        <w:tc>
          <w:tcPr>
            <w:tcW w:w="901" w:type="pct"/>
            <w:tcBorders>
              <w:top w:val="nil"/>
              <w:left w:val="single" w:sz="4" w:space="0" w:color="auto"/>
              <w:bottom w:val="single" w:sz="4" w:space="0" w:color="auto"/>
              <w:right w:val="single" w:sz="4" w:space="0" w:color="auto"/>
            </w:tcBorders>
            <w:shd w:val="clear" w:color="auto" w:fill="auto"/>
            <w:vAlign w:val="center"/>
          </w:tcPr>
          <w:p w14:paraId="27EAA96F" w14:textId="63E279D9" w:rsidR="006F1A02" w:rsidRPr="0078679C" w:rsidRDefault="006F1A02" w:rsidP="006F1A02">
            <w:pPr>
              <w:spacing w:line="240" w:lineRule="auto"/>
              <w:jc w:val="center"/>
              <w:rPr>
                <w:rFonts w:ascii="Garamond" w:hAnsi="Garamond"/>
                <w:sz w:val="26"/>
                <w:szCs w:val="26"/>
                <w:lang w:eastAsia="it-IT"/>
              </w:rPr>
            </w:pPr>
          </w:p>
        </w:tc>
        <w:tc>
          <w:tcPr>
            <w:tcW w:w="420" w:type="pct"/>
            <w:tcBorders>
              <w:top w:val="nil"/>
              <w:left w:val="nil"/>
              <w:bottom w:val="single" w:sz="4" w:space="0" w:color="auto"/>
              <w:right w:val="single" w:sz="4" w:space="0" w:color="auto"/>
            </w:tcBorders>
            <w:shd w:val="clear" w:color="auto" w:fill="auto"/>
            <w:noWrap/>
            <w:vAlign w:val="center"/>
          </w:tcPr>
          <w:p w14:paraId="7072BCAC" w14:textId="1F8D6A35" w:rsidR="006F1A02" w:rsidRPr="0078679C" w:rsidRDefault="006F1A02" w:rsidP="006F1A02">
            <w:pPr>
              <w:spacing w:line="240" w:lineRule="auto"/>
              <w:jc w:val="center"/>
              <w:rPr>
                <w:rFonts w:ascii="Garamond" w:eastAsia="Calibri" w:hAnsi="Garamond" w:cs="Calibri"/>
                <w:sz w:val="26"/>
                <w:szCs w:val="26"/>
                <w:lang w:eastAsia="it-IT"/>
              </w:rPr>
            </w:pPr>
            <w:r w:rsidRPr="0078679C">
              <w:rPr>
                <w:rFonts w:ascii="Garamond" w:hAnsi="Garamond" w:cs="Calibri"/>
                <w:sz w:val="20"/>
                <w:szCs w:val="20"/>
                <w:lang w:eastAsia="it-IT"/>
              </w:rPr>
              <w:t>5</w:t>
            </w:r>
          </w:p>
        </w:tc>
        <w:tc>
          <w:tcPr>
            <w:tcW w:w="984" w:type="pct"/>
            <w:gridSpan w:val="3"/>
            <w:tcBorders>
              <w:top w:val="single" w:sz="4" w:space="0" w:color="auto"/>
              <w:left w:val="nil"/>
              <w:bottom w:val="single" w:sz="4" w:space="0" w:color="auto"/>
              <w:right w:val="single" w:sz="4" w:space="0" w:color="auto"/>
            </w:tcBorders>
          </w:tcPr>
          <w:p w14:paraId="7CBCF8E8" w14:textId="77777777" w:rsidR="006F1A02" w:rsidRPr="0078679C" w:rsidRDefault="006F1A02" w:rsidP="006F1A02">
            <w:pPr>
              <w:spacing w:line="240" w:lineRule="auto"/>
              <w:jc w:val="center"/>
              <w:rPr>
                <w:rFonts w:ascii="Garamond" w:eastAsia="Calibri" w:hAnsi="Garamond" w:cs="Calibri"/>
                <w:sz w:val="26"/>
                <w:szCs w:val="26"/>
                <w:lang w:eastAsia="it-IT"/>
              </w:rPr>
            </w:pPr>
          </w:p>
        </w:tc>
      </w:tr>
      <w:tr w:rsidR="006F1A02" w:rsidRPr="0078679C" w14:paraId="5D5A10C7" w14:textId="77777777" w:rsidTr="00032C7F">
        <w:trPr>
          <w:gridAfter w:val="1"/>
          <w:wAfter w:w="43" w:type="pct"/>
          <w:trHeight w:val="20"/>
          <w:jc w:val="center"/>
        </w:trPr>
        <w:tc>
          <w:tcPr>
            <w:tcW w:w="2652" w:type="pct"/>
            <w:tcBorders>
              <w:top w:val="nil"/>
              <w:left w:val="single" w:sz="4" w:space="0" w:color="auto"/>
              <w:bottom w:val="single" w:sz="4" w:space="0" w:color="auto"/>
              <w:right w:val="single" w:sz="4" w:space="0" w:color="auto"/>
            </w:tcBorders>
            <w:shd w:val="clear" w:color="auto" w:fill="auto"/>
            <w:vAlign w:val="center"/>
          </w:tcPr>
          <w:p w14:paraId="0FC8BE9F" w14:textId="48A915CF"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Possibilità di estendere il range spettrale con kit dedicato</w:t>
            </w:r>
          </w:p>
        </w:tc>
        <w:tc>
          <w:tcPr>
            <w:tcW w:w="901" w:type="pct"/>
            <w:tcBorders>
              <w:top w:val="nil"/>
              <w:left w:val="single" w:sz="4" w:space="0" w:color="auto"/>
              <w:bottom w:val="single" w:sz="4" w:space="0" w:color="auto"/>
              <w:right w:val="single" w:sz="4" w:space="0" w:color="auto"/>
            </w:tcBorders>
            <w:shd w:val="clear" w:color="auto" w:fill="auto"/>
            <w:vAlign w:val="center"/>
          </w:tcPr>
          <w:p w14:paraId="23459D20" w14:textId="19B69432" w:rsidR="006F1A02" w:rsidRPr="0078679C" w:rsidRDefault="006F1A02" w:rsidP="006F1A02">
            <w:pPr>
              <w:spacing w:line="240" w:lineRule="auto"/>
              <w:jc w:val="center"/>
              <w:rPr>
                <w:rFonts w:ascii="Garamond" w:hAnsi="Garamond"/>
                <w:sz w:val="26"/>
                <w:szCs w:val="26"/>
                <w:lang w:eastAsia="it-IT"/>
              </w:rPr>
            </w:pPr>
          </w:p>
        </w:tc>
        <w:tc>
          <w:tcPr>
            <w:tcW w:w="420" w:type="pct"/>
            <w:tcBorders>
              <w:top w:val="nil"/>
              <w:left w:val="nil"/>
              <w:bottom w:val="single" w:sz="4" w:space="0" w:color="auto"/>
              <w:right w:val="single" w:sz="4" w:space="0" w:color="auto"/>
            </w:tcBorders>
            <w:shd w:val="clear" w:color="auto" w:fill="auto"/>
            <w:noWrap/>
            <w:vAlign w:val="center"/>
            <w:hideMark/>
          </w:tcPr>
          <w:p w14:paraId="40A9936A" w14:textId="5C19BB50"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5</w:t>
            </w:r>
          </w:p>
        </w:tc>
        <w:tc>
          <w:tcPr>
            <w:tcW w:w="984" w:type="pct"/>
            <w:gridSpan w:val="3"/>
            <w:tcBorders>
              <w:top w:val="nil"/>
              <w:left w:val="nil"/>
              <w:bottom w:val="single" w:sz="4" w:space="0" w:color="auto"/>
              <w:right w:val="single" w:sz="4" w:space="0" w:color="auto"/>
            </w:tcBorders>
          </w:tcPr>
          <w:p w14:paraId="44892B97" w14:textId="29865349" w:rsidR="006F1A02" w:rsidRPr="0078679C" w:rsidRDefault="006F1A02" w:rsidP="006F1A02">
            <w:pPr>
              <w:spacing w:line="240" w:lineRule="auto"/>
              <w:jc w:val="center"/>
              <w:rPr>
                <w:rFonts w:ascii="Garamond" w:hAnsi="Garamond"/>
                <w:b/>
                <w:bCs/>
                <w:sz w:val="26"/>
                <w:szCs w:val="26"/>
                <w:lang w:eastAsia="it-IT"/>
              </w:rPr>
            </w:pPr>
          </w:p>
        </w:tc>
      </w:tr>
      <w:tr w:rsidR="006F1A02" w:rsidRPr="0078679C" w14:paraId="76175CED" w14:textId="77777777" w:rsidTr="00032C7F">
        <w:trPr>
          <w:gridAfter w:val="1"/>
          <w:wAfter w:w="43" w:type="pct"/>
          <w:trHeight w:val="20"/>
          <w:jc w:val="center"/>
        </w:trPr>
        <w:tc>
          <w:tcPr>
            <w:tcW w:w="2652" w:type="pct"/>
            <w:tcBorders>
              <w:top w:val="nil"/>
              <w:left w:val="single" w:sz="4" w:space="0" w:color="auto"/>
              <w:bottom w:val="single" w:sz="4" w:space="0" w:color="auto"/>
              <w:right w:val="single" w:sz="4" w:space="0" w:color="auto"/>
            </w:tcBorders>
            <w:shd w:val="clear" w:color="auto" w:fill="auto"/>
            <w:vAlign w:val="center"/>
          </w:tcPr>
          <w:p w14:paraId="634282B9" w14:textId="79192B1E"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Risoluzione spettrale dello spettrometro FT-IR inferiore a 0,4 cm</w:t>
            </w:r>
            <w:r w:rsidRPr="0078679C">
              <w:rPr>
                <w:rFonts w:ascii="Garamond" w:hAnsi="Garamond" w:cs="Calibri"/>
                <w:sz w:val="20"/>
                <w:szCs w:val="20"/>
                <w:vertAlign w:val="superscript"/>
                <w:lang w:eastAsia="it-IT"/>
              </w:rPr>
              <w:t>-1</w:t>
            </w:r>
          </w:p>
        </w:tc>
        <w:tc>
          <w:tcPr>
            <w:tcW w:w="901" w:type="pct"/>
            <w:tcBorders>
              <w:top w:val="nil"/>
              <w:left w:val="single" w:sz="4" w:space="0" w:color="auto"/>
              <w:bottom w:val="single" w:sz="4" w:space="0" w:color="auto"/>
              <w:right w:val="single" w:sz="4" w:space="0" w:color="auto"/>
            </w:tcBorders>
            <w:shd w:val="clear" w:color="auto" w:fill="auto"/>
            <w:vAlign w:val="center"/>
          </w:tcPr>
          <w:p w14:paraId="099DEAA5" w14:textId="55982418" w:rsidR="006F1A02" w:rsidRPr="0078679C" w:rsidRDefault="006F1A02" w:rsidP="006F1A02">
            <w:pPr>
              <w:spacing w:line="240" w:lineRule="auto"/>
              <w:jc w:val="center"/>
              <w:rPr>
                <w:rFonts w:ascii="Garamond" w:hAnsi="Garamond"/>
                <w:sz w:val="26"/>
                <w:szCs w:val="26"/>
                <w:lang w:eastAsia="it-IT"/>
              </w:rPr>
            </w:pPr>
          </w:p>
        </w:tc>
        <w:tc>
          <w:tcPr>
            <w:tcW w:w="420" w:type="pct"/>
            <w:tcBorders>
              <w:top w:val="nil"/>
              <w:left w:val="nil"/>
              <w:bottom w:val="single" w:sz="4" w:space="0" w:color="auto"/>
              <w:right w:val="single" w:sz="4" w:space="0" w:color="auto"/>
            </w:tcBorders>
            <w:shd w:val="clear" w:color="auto" w:fill="auto"/>
            <w:noWrap/>
            <w:vAlign w:val="center"/>
          </w:tcPr>
          <w:p w14:paraId="0A3F83F3" w14:textId="45E75869"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5</w:t>
            </w:r>
          </w:p>
        </w:tc>
        <w:tc>
          <w:tcPr>
            <w:tcW w:w="984" w:type="pct"/>
            <w:gridSpan w:val="3"/>
            <w:tcBorders>
              <w:top w:val="single" w:sz="4" w:space="0" w:color="auto"/>
              <w:left w:val="nil"/>
              <w:bottom w:val="single" w:sz="4" w:space="0" w:color="auto"/>
              <w:right w:val="single" w:sz="4" w:space="0" w:color="auto"/>
            </w:tcBorders>
          </w:tcPr>
          <w:p w14:paraId="41B5CA1C" w14:textId="77777777" w:rsidR="006F1A02" w:rsidRPr="0078679C" w:rsidRDefault="006F1A02" w:rsidP="006F1A02">
            <w:pPr>
              <w:spacing w:line="240" w:lineRule="auto"/>
              <w:jc w:val="center"/>
              <w:rPr>
                <w:rFonts w:ascii="Garamond" w:hAnsi="Garamond"/>
                <w:sz w:val="26"/>
                <w:szCs w:val="26"/>
                <w:lang w:eastAsia="it-IT"/>
              </w:rPr>
            </w:pPr>
          </w:p>
        </w:tc>
      </w:tr>
      <w:tr w:rsidR="006F1A02" w:rsidRPr="0078679C" w14:paraId="68AC7568" w14:textId="77777777" w:rsidTr="00032C7F">
        <w:trPr>
          <w:gridAfter w:val="1"/>
          <w:wAfter w:w="43" w:type="pct"/>
          <w:trHeight w:val="20"/>
          <w:jc w:val="center"/>
        </w:trPr>
        <w:tc>
          <w:tcPr>
            <w:tcW w:w="2652" w:type="pct"/>
            <w:tcBorders>
              <w:top w:val="nil"/>
              <w:left w:val="single" w:sz="4" w:space="0" w:color="auto"/>
              <w:bottom w:val="single" w:sz="4" w:space="0" w:color="auto"/>
              <w:right w:val="single" w:sz="4" w:space="0" w:color="auto"/>
            </w:tcBorders>
            <w:shd w:val="clear" w:color="auto" w:fill="auto"/>
            <w:vAlign w:val="center"/>
          </w:tcPr>
          <w:p w14:paraId="7954D83F" w14:textId="0B70F5A6"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Rapporto S/N dello spettrometro FT-IR misurato con una risoluzione di 4cm</w:t>
            </w:r>
            <w:r w:rsidRPr="0078679C">
              <w:rPr>
                <w:rFonts w:ascii="Garamond" w:hAnsi="Garamond" w:cs="Calibri"/>
                <w:sz w:val="20"/>
                <w:szCs w:val="20"/>
                <w:vertAlign w:val="superscript"/>
                <w:lang w:eastAsia="it-IT"/>
              </w:rPr>
              <w:t>-1</w:t>
            </w:r>
            <w:r w:rsidRPr="0078679C">
              <w:rPr>
                <w:rFonts w:ascii="Garamond" w:hAnsi="Garamond" w:cs="Calibri"/>
                <w:sz w:val="20"/>
                <w:szCs w:val="20"/>
                <w:lang w:eastAsia="it-IT"/>
              </w:rPr>
              <w:t xml:space="preserve"> ed 1 min di accumulazione ad una frequenza di 2100-2200 cm</w:t>
            </w:r>
            <w:r w:rsidRPr="0078679C">
              <w:rPr>
                <w:rFonts w:ascii="Garamond" w:hAnsi="Garamond" w:cs="Calibri"/>
                <w:sz w:val="20"/>
                <w:szCs w:val="20"/>
                <w:vertAlign w:val="superscript"/>
                <w:lang w:eastAsia="it-IT"/>
              </w:rPr>
              <w:t>-1</w:t>
            </w:r>
            <w:r w:rsidRPr="0078679C">
              <w:rPr>
                <w:rFonts w:ascii="Garamond" w:hAnsi="Garamond" w:cs="Calibri"/>
                <w:sz w:val="20"/>
                <w:szCs w:val="20"/>
                <w:lang w:eastAsia="it-IT"/>
              </w:rPr>
              <w:t xml:space="preserve"> ≥35000  </w:t>
            </w:r>
          </w:p>
        </w:tc>
        <w:tc>
          <w:tcPr>
            <w:tcW w:w="901" w:type="pct"/>
            <w:tcBorders>
              <w:top w:val="nil"/>
              <w:left w:val="single" w:sz="4" w:space="0" w:color="auto"/>
              <w:bottom w:val="single" w:sz="4" w:space="0" w:color="auto"/>
              <w:right w:val="single" w:sz="4" w:space="0" w:color="auto"/>
            </w:tcBorders>
            <w:shd w:val="clear" w:color="auto" w:fill="auto"/>
            <w:vAlign w:val="center"/>
          </w:tcPr>
          <w:p w14:paraId="46F8D54F" w14:textId="078CAAF7" w:rsidR="006F1A02" w:rsidRPr="0078679C" w:rsidRDefault="006F1A02" w:rsidP="006F1A02">
            <w:pPr>
              <w:spacing w:line="240" w:lineRule="auto"/>
              <w:jc w:val="center"/>
              <w:rPr>
                <w:rFonts w:ascii="Garamond" w:hAnsi="Garamond"/>
                <w:sz w:val="26"/>
                <w:szCs w:val="26"/>
                <w:lang w:eastAsia="it-IT"/>
              </w:rPr>
            </w:pPr>
          </w:p>
        </w:tc>
        <w:tc>
          <w:tcPr>
            <w:tcW w:w="420" w:type="pct"/>
            <w:tcBorders>
              <w:top w:val="nil"/>
              <w:left w:val="nil"/>
              <w:bottom w:val="single" w:sz="4" w:space="0" w:color="auto"/>
              <w:right w:val="single" w:sz="4" w:space="0" w:color="auto"/>
            </w:tcBorders>
            <w:shd w:val="clear" w:color="auto" w:fill="auto"/>
            <w:noWrap/>
            <w:vAlign w:val="center"/>
          </w:tcPr>
          <w:p w14:paraId="531C0B3E" w14:textId="77AF758A"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5</w:t>
            </w:r>
          </w:p>
        </w:tc>
        <w:tc>
          <w:tcPr>
            <w:tcW w:w="984" w:type="pct"/>
            <w:gridSpan w:val="3"/>
            <w:tcBorders>
              <w:top w:val="nil"/>
              <w:left w:val="nil"/>
              <w:bottom w:val="single" w:sz="4" w:space="0" w:color="auto"/>
              <w:right w:val="single" w:sz="4" w:space="0" w:color="auto"/>
            </w:tcBorders>
          </w:tcPr>
          <w:p w14:paraId="75E837AA" w14:textId="2135D27E" w:rsidR="006F1A02" w:rsidRPr="0078679C" w:rsidRDefault="006F1A02" w:rsidP="006F1A02">
            <w:pPr>
              <w:spacing w:line="240" w:lineRule="auto"/>
              <w:jc w:val="center"/>
              <w:rPr>
                <w:rFonts w:ascii="Garamond" w:hAnsi="Garamond"/>
                <w:sz w:val="26"/>
                <w:szCs w:val="26"/>
                <w:lang w:eastAsia="it-IT"/>
              </w:rPr>
            </w:pPr>
          </w:p>
        </w:tc>
      </w:tr>
      <w:tr w:rsidR="006F1A02" w:rsidRPr="0078679C" w14:paraId="19262D6E" w14:textId="77777777" w:rsidTr="00E767C4">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3B211257" w14:textId="1E78B145" w:rsidR="006F1A02" w:rsidRPr="0078679C" w:rsidRDefault="006F1A02" w:rsidP="006F1A02">
            <w:pPr>
              <w:spacing w:before="120" w:after="60"/>
              <w:rPr>
                <w:rFonts w:ascii="Garamond" w:hAnsi="Garamond"/>
                <w:sz w:val="26"/>
                <w:szCs w:val="26"/>
                <w:lang w:eastAsia="it-IT"/>
              </w:rPr>
            </w:pPr>
            <w:r w:rsidRPr="0078679C">
              <w:rPr>
                <w:rFonts w:ascii="Garamond" w:hAnsi="Garamond" w:cs="Calibri"/>
                <w:sz w:val="20"/>
                <w:szCs w:val="20"/>
                <w:lang w:eastAsia="it-IT"/>
              </w:rPr>
              <w:t>Estensione del contratto di garanzia incluso nel prezzo di fornitura, oltre i 24 mesi iniziali e con identiche modalità</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7EC95B3C" w14:textId="10820B0E"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per ulteriori 12 mesi</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0DBDFF84" w14:textId="4ED6270E"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5</w:t>
            </w:r>
          </w:p>
        </w:tc>
        <w:tc>
          <w:tcPr>
            <w:tcW w:w="984" w:type="pct"/>
            <w:gridSpan w:val="3"/>
            <w:tcBorders>
              <w:top w:val="single" w:sz="4" w:space="0" w:color="auto"/>
              <w:left w:val="nil"/>
              <w:bottom w:val="single" w:sz="4" w:space="0" w:color="auto"/>
              <w:right w:val="single" w:sz="4" w:space="0" w:color="auto"/>
            </w:tcBorders>
          </w:tcPr>
          <w:p w14:paraId="4D002206" w14:textId="77777777" w:rsidR="006F1A02" w:rsidRPr="0078679C" w:rsidRDefault="006F1A02" w:rsidP="006F1A02">
            <w:pPr>
              <w:spacing w:line="240" w:lineRule="auto"/>
              <w:jc w:val="center"/>
              <w:rPr>
                <w:rFonts w:ascii="Garamond" w:hAnsi="Garamond"/>
                <w:sz w:val="26"/>
                <w:szCs w:val="26"/>
                <w:lang w:eastAsia="it-IT"/>
              </w:rPr>
            </w:pPr>
          </w:p>
        </w:tc>
      </w:tr>
      <w:tr w:rsidR="006F1A02" w:rsidRPr="0078679C" w14:paraId="54996867" w14:textId="77777777" w:rsidTr="00016A84">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68A981FE" w14:textId="75DC309C" w:rsidR="006F1A02" w:rsidRPr="0078679C" w:rsidRDefault="006F1A02" w:rsidP="006F1A02">
            <w:pPr>
              <w:spacing w:before="120" w:after="60"/>
              <w:rPr>
                <w:rFonts w:ascii="Garamond" w:hAnsi="Garamond"/>
                <w:sz w:val="26"/>
                <w:szCs w:val="26"/>
                <w:lang w:eastAsia="it-IT"/>
              </w:rPr>
            </w:pPr>
            <w:r w:rsidRPr="0078679C">
              <w:rPr>
                <w:rFonts w:ascii="Garamond" w:hAnsi="Garamond" w:cs="Calibri"/>
                <w:sz w:val="20"/>
                <w:szCs w:val="20"/>
                <w:lang w:eastAsia="it-IT"/>
              </w:rPr>
              <w:t>Estensione del contratto di garanzia incluso nel prezzo di fornitura, oltre i 24 mesi iniziali e con identiche modalità</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49ECCD7B" w14:textId="280DE6D7"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per ulteriori 24 mesi</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1C93CA37" w14:textId="763BED38"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10</w:t>
            </w:r>
          </w:p>
        </w:tc>
        <w:tc>
          <w:tcPr>
            <w:tcW w:w="984" w:type="pct"/>
            <w:gridSpan w:val="3"/>
            <w:vMerge w:val="restart"/>
            <w:tcBorders>
              <w:top w:val="nil"/>
              <w:left w:val="nil"/>
              <w:right w:val="single" w:sz="4" w:space="0" w:color="auto"/>
            </w:tcBorders>
          </w:tcPr>
          <w:p w14:paraId="6CC17459" w14:textId="28D8DD61" w:rsidR="006F1A02" w:rsidRPr="0078679C" w:rsidRDefault="006F1A02" w:rsidP="006F1A02">
            <w:pPr>
              <w:spacing w:line="240" w:lineRule="auto"/>
              <w:jc w:val="center"/>
              <w:rPr>
                <w:rFonts w:ascii="Garamond" w:eastAsia="Calibri" w:hAnsi="Garamond" w:cs="Calibri"/>
                <w:sz w:val="26"/>
                <w:szCs w:val="26"/>
                <w:lang w:eastAsia="it-IT"/>
              </w:rPr>
            </w:pPr>
          </w:p>
        </w:tc>
      </w:tr>
      <w:tr w:rsidR="006F1A02" w:rsidRPr="0078679C" w14:paraId="0D8579B9" w14:textId="77777777" w:rsidTr="00775D89">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1C470AD1" w14:textId="4855A358" w:rsidR="006F1A02" w:rsidRPr="0078679C" w:rsidRDefault="006F1A02" w:rsidP="006F1A02">
            <w:pPr>
              <w:spacing w:before="120" w:after="60"/>
              <w:rPr>
                <w:rFonts w:ascii="Garamond" w:hAnsi="Garamond"/>
                <w:sz w:val="26"/>
                <w:szCs w:val="26"/>
                <w:lang w:eastAsia="it-IT"/>
              </w:rPr>
            </w:pPr>
            <w:r w:rsidRPr="0078679C">
              <w:rPr>
                <w:rFonts w:ascii="Garamond" w:hAnsi="Garamond" w:cs="Calibri"/>
                <w:sz w:val="20"/>
                <w:szCs w:val="20"/>
                <w:lang w:eastAsia="it-IT"/>
              </w:rPr>
              <w:t>Estensione del contratto di garanzia incluso nel prezzo di fornitura, oltre i 24 mesi iniziali e con identiche modalità</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C76ADC5" w14:textId="7687E963"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nessuna estensione</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1FF54119" w14:textId="5175F769"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0</w:t>
            </w:r>
          </w:p>
        </w:tc>
        <w:tc>
          <w:tcPr>
            <w:tcW w:w="984" w:type="pct"/>
            <w:gridSpan w:val="3"/>
            <w:vMerge/>
            <w:tcBorders>
              <w:left w:val="nil"/>
              <w:right w:val="single" w:sz="4" w:space="0" w:color="auto"/>
            </w:tcBorders>
          </w:tcPr>
          <w:p w14:paraId="1ECF3087" w14:textId="77777777" w:rsidR="006F1A02" w:rsidRPr="0078679C" w:rsidRDefault="006F1A02" w:rsidP="006F1A02">
            <w:pPr>
              <w:spacing w:line="240" w:lineRule="auto"/>
              <w:jc w:val="center"/>
              <w:rPr>
                <w:rFonts w:ascii="Garamond" w:eastAsia="Calibri" w:hAnsi="Garamond" w:cs="Calibri"/>
                <w:sz w:val="26"/>
                <w:szCs w:val="26"/>
                <w:lang w:eastAsia="it-IT"/>
              </w:rPr>
            </w:pPr>
          </w:p>
        </w:tc>
      </w:tr>
      <w:tr w:rsidR="006F1A02" w:rsidRPr="0078679C" w14:paraId="7FA5012B" w14:textId="77777777" w:rsidTr="00775D89">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549B570B" w14:textId="07A15140"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Fornitura delle finestre in KBr aggiuntive per lo spettrometro FT-IR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6671A9C" w14:textId="52B6B6E7" w:rsidR="006F1A02" w:rsidRPr="0078679C" w:rsidRDefault="006F1A02" w:rsidP="006F1A02">
            <w:pPr>
              <w:spacing w:line="240" w:lineRule="auto"/>
              <w:jc w:val="center"/>
              <w:rPr>
                <w:rFonts w:ascii="Garamond" w:hAnsi="Garamond"/>
                <w:sz w:val="26"/>
                <w:szCs w:val="26"/>
                <w:lang w:eastAsia="it-IT"/>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1C74B5CE" w14:textId="25AE931E"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5</w:t>
            </w:r>
          </w:p>
        </w:tc>
        <w:tc>
          <w:tcPr>
            <w:tcW w:w="984" w:type="pct"/>
            <w:gridSpan w:val="3"/>
            <w:vMerge/>
            <w:tcBorders>
              <w:left w:val="nil"/>
              <w:bottom w:val="single" w:sz="4" w:space="0" w:color="auto"/>
              <w:right w:val="single" w:sz="4" w:space="0" w:color="auto"/>
            </w:tcBorders>
          </w:tcPr>
          <w:p w14:paraId="446F5F3A" w14:textId="22B18F28" w:rsidR="006F1A02" w:rsidRPr="0078679C" w:rsidRDefault="006F1A02" w:rsidP="006F1A02">
            <w:pPr>
              <w:spacing w:line="240" w:lineRule="auto"/>
              <w:jc w:val="center"/>
              <w:rPr>
                <w:rFonts w:ascii="Garamond" w:hAnsi="Garamond"/>
                <w:sz w:val="26"/>
                <w:szCs w:val="26"/>
                <w:lang w:eastAsia="it-IT"/>
              </w:rPr>
            </w:pPr>
          </w:p>
        </w:tc>
      </w:tr>
      <w:tr w:rsidR="006F1A02" w:rsidRPr="0078679C" w14:paraId="371CEDA8" w14:textId="77777777" w:rsidTr="00016A84">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782ACB4C" w14:textId="26C2E27E" w:rsidR="006F1A02" w:rsidRPr="0078679C" w:rsidRDefault="006F1A02" w:rsidP="006F1A02">
            <w:pPr>
              <w:spacing w:line="240" w:lineRule="auto"/>
              <w:jc w:val="center"/>
              <w:rPr>
                <w:rFonts w:ascii="Garamond" w:hAnsi="Garamond"/>
                <w:sz w:val="26"/>
                <w:szCs w:val="26"/>
                <w:lang w:eastAsia="it-IT"/>
              </w:rPr>
            </w:pPr>
            <w:r w:rsidRPr="0078679C">
              <w:rPr>
                <w:rFonts w:ascii="Garamond" w:hAnsi="Garamond" w:cs="Calibri"/>
                <w:sz w:val="20"/>
                <w:szCs w:val="20"/>
                <w:lang w:eastAsia="it-IT"/>
              </w:rPr>
              <w:t>Aggiornamento gratuito delle librerie dello spettrometro FT-IR per 5 anni</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CC62C68" w14:textId="1D77C43B" w:rsidR="006F1A02" w:rsidRPr="0078679C" w:rsidRDefault="006F1A02" w:rsidP="006F1A02">
            <w:pPr>
              <w:spacing w:line="240" w:lineRule="auto"/>
              <w:jc w:val="center"/>
              <w:rPr>
                <w:rFonts w:ascii="Garamond" w:hAnsi="Garamond"/>
                <w:sz w:val="26"/>
                <w:szCs w:val="26"/>
                <w:lang w:eastAsia="it-IT"/>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79A246C1" w14:textId="72F33782" w:rsidR="006F1A02" w:rsidRPr="0078679C" w:rsidRDefault="006F1A02" w:rsidP="006F1A02">
            <w:pPr>
              <w:spacing w:line="240" w:lineRule="auto"/>
              <w:jc w:val="center"/>
              <w:rPr>
                <w:rFonts w:ascii="Garamond" w:eastAsia="Calibri" w:hAnsi="Garamond" w:cs="Calibri"/>
                <w:sz w:val="26"/>
                <w:szCs w:val="26"/>
                <w:lang w:eastAsia="it-IT"/>
              </w:rPr>
            </w:pPr>
            <w:r w:rsidRPr="0078679C">
              <w:rPr>
                <w:rFonts w:ascii="Garamond" w:hAnsi="Garamond" w:cs="Calibri"/>
                <w:sz w:val="20"/>
                <w:szCs w:val="20"/>
                <w:lang w:eastAsia="it-IT"/>
              </w:rPr>
              <w:t>5</w:t>
            </w:r>
          </w:p>
        </w:tc>
        <w:tc>
          <w:tcPr>
            <w:tcW w:w="984" w:type="pct"/>
            <w:gridSpan w:val="3"/>
            <w:tcBorders>
              <w:top w:val="nil"/>
              <w:left w:val="nil"/>
              <w:bottom w:val="single" w:sz="4" w:space="0" w:color="auto"/>
              <w:right w:val="single" w:sz="4" w:space="0" w:color="auto"/>
            </w:tcBorders>
          </w:tcPr>
          <w:p w14:paraId="6181440F" w14:textId="10CDBEDC" w:rsidR="006F1A02" w:rsidRPr="0078679C" w:rsidRDefault="006F1A02" w:rsidP="006F1A02">
            <w:pPr>
              <w:spacing w:line="240" w:lineRule="auto"/>
              <w:jc w:val="center"/>
              <w:rPr>
                <w:rFonts w:ascii="Garamond" w:hAnsi="Garamond"/>
                <w:sz w:val="26"/>
                <w:szCs w:val="26"/>
                <w:lang w:eastAsia="it-IT"/>
              </w:rPr>
            </w:pPr>
          </w:p>
        </w:tc>
      </w:tr>
      <w:tr w:rsidR="006F1A02" w:rsidRPr="0078679C" w14:paraId="053ECAFA" w14:textId="77777777" w:rsidTr="00016A84">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721D6A13" w14:textId="6CB8B80E" w:rsidR="006F1A02" w:rsidRPr="0078679C" w:rsidRDefault="006F1A02" w:rsidP="006F1A02">
            <w:pPr>
              <w:spacing w:line="240" w:lineRule="auto"/>
              <w:jc w:val="center"/>
              <w:rPr>
                <w:rFonts w:ascii="Garamond" w:hAnsi="Garamond" w:cs="Calibri"/>
                <w:sz w:val="20"/>
                <w:szCs w:val="20"/>
                <w:lang w:eastAsia="it-IT"/>
              </w:rPr>
            </w:pPr>
            <w:r w:rsidRPr="0078679C">
              <w:rPr>
                <w:rFonts w:ascii="Garamond" w:hAnsi="Garamond" w:cs="Calibri"/>
                <w:sz w:val="20"/>
                <w:szCs w:val="20"/>
                <w:lang w:eastAsia="it-IT"/>
              </w:rPr>
              <w:t>Camera di pesatura della Bilancia analitica chiusa con sportelli apribili</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D7B5D5A" w14:textId="77777777" w:rsidR="006F1A02" w:rsidRPr="0078679C" w:rsidRDefault="006F1A02" w:rsidP="006F1A02">
            <w:pPr>
              <w:spacing w:line="240" w:lineRule="auto"/>
              <w:jc w:val="center"/>
              <w:rPr>
                <w:rFonts w:ascii="Garamond" w:hAnsi="Garamond"/>
                <w:sz w:val="26"/>
                <w:szCs w:val="26"/>
                <w:lang w:eastAsia="it-IT"/>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30B928AD" w14:textId="65F30C63" w:rsidR="006F1A02" w:rsidRPr="0078679C" w:rsidRDefault="006F1A02" w:rsidP="006F1A02">
            <w:pPr>
              <w:spacing w:line="240" w:lineRule="auto"/>
              <w:jc w:val="center"/>
              <w:rPr>
                <w:rFonts w:ascii="Garamond" w:hAnsi="Garamond" w:cs="Calibri"/>
                <w:sz w:val="20"/>
                <w:szCs w:val="20"/>
                <w:lang w:eastAsia="it-IT"/>
              </w:rPr>
            </w:pPr>
            <w:r w:rsidRPr="0078679C">
              <w:rPr>
                <w:rFonts w:ascii="Garamond" w:hAnsi="Garamond" w:cs="Calibri"/>
                <w:sz w:val="20"/>
                <w:szCs w:val="20"/>
                <w:lang w:eastAsia="it-IT"/>
              </w:rPr>
              <w:t>5</w:t>
            </w:r>
          </w:p>
        </w:tc>
        <w:tc>
          <w:tcPr>
            <w:tcW w:w="984" w:type="pct"/>
            <w:gridSpan w:val="3"/>
            <w:tcBorders>
              <w:top w:val="nil"/>
              <w:left w:val="nil"/>
              <w:bottom w:val="single" w:sz="4" w:space="0" w:color="auto"/>
              <w:right w:val="single" w:sz="4" w:space="0" w:color="auto"/>
            </w:tcBorders>
          </w:tcPr>
          <w:p w14:paraId="4A5A4CBD" w14:textId="77777777" w:rsidR="006F1A02" w:rsidRPr="0078679C" w:rsidRDefault="006F1A02" w:rsidP="006F1A02">
            <w:pPr>
              <w:spacing w:line="240" w:lineRule="auto"/>
              <w:jc w:val="center"/>
              <w:rPr>
                <w:rFonts w:ascii="Garamond" w:hAnsi="Garamond"/>
                <w:sz w:val="26"/>
                <w:szCs w:val="26"/>
                <w:lang w:eastAsia="it-IT"/>
              </w:rPr>
            </w:pPr>
          </w:p>
        </w:tc>
      </w:tr>
      <w:tr w:rsidR="006F1A02" w:rsidRPr="0078679C" w14:paraId="7E346AA4" w14:textId="77777777" w:rsidTr="00016A84">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6FE8336A" w14:textId="68DB8BE5" w:rsidR="006F1A02" w:rsidRPr="0078679C" w:rsidRDefault="006F1A02" w:rsidP="006F1A02">
            <w:pPr>
              <w:spacing w:line="240" w:lineRule="auto"/>
              <w:jc w:val="center"/>
              <w:rPr>
                <w:rFonts w:ascii="Garamond" w:hAnsi="Garamond" w:cs="Calibri"/>
                <w:sz w:val="20"/>
                <w:szCs w:val="20"/>
                <w:lang w:eastAsia="it-IT"/>
              </w:rPr>
            </w:pPr>
            <w:r w:rsidRPr="0078679C">
              <w:rPr>
                <w:rFonts w:ascii="Garamond" w:hAnsi="Garamond" w:cs="Calibri"/>
                <w:sz w:val="20"/>
                <w:szCs w:val="20"/>
                <w:lang w:eastAsia="it-IT"/>
              </w:rPr>
              <w:lastRenderedPageBreak/>
              <w:t>Generatore di idrogeno di potenza &lt; 500W</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3A0961D8" w14:textId="77777777" w:rsidR="006F1A02" w:rsidRPr="0078679C" w:rsidRDefault="006F1A02" w:rsidP="006F1A02">
            <w:pPr>
              <w:spacing w:line="240" w:lineRule="auto"/>
              <w:jc w:val="center"/>
              <w:rPr>
                <w:rFonts w:ascii="Garamond" w:hAnsi="Garamond"/>
                <w:sz w:val="26"/>
                <w:szCs w:val="26"/>
                <w:lang w:eastAsia="it-IT"/>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14FB6A85" w14:textId="382F0DC1" w:rsidR="006F1A02" w:rsidRPr="0078679C" w:rsidRDefault="006F1A02" w:rsidP="006F1A02">
            <w:pPr>
              <w:spacing w:line="240" w:lineRule="auto"/>
              <w:jc w:val="center"/>
              <w:rPr>
                <w:rFonts w:ascii="Garamond" w:hAnsi="Garamond" w:cs="Calibri"/>
                <w:sz w:val="20"/>
                <w:szCs w:val="20"/>
                <w:lang w:eastAsia="it-IT"/>
              </w:rPr>
            </w:pPr>
            <w:r w:rsidRPr="0078679C">
              <w:rPr>
                <w:rFonts w:ascii="Garamond" w:hAnsi="Garamond" w:cs="Calibri"/>
                <w:sz w:val="20"/>
                <w:szCs w:val="20"/>
                <w:lang w:eastAsia="it-IT"/>
              </w:rPr>
              <w:t>5</w:t>
            </w:r>
          </w:p>
        </w:tc>
        <w:tc>
          <w:tcPr>
            <w:tcW w:w="984" w:type="pct"/>
            <w:gridSpan w:val="3"/>
            <w:tcBorders>
              <w:top w:val="nil"/>
              <w:left w:val="nil"/>
              <w:bottom w:val="single" w:sz="4" w:space="0" w:color="auto"/>
              <w:right w:val="single" w:sz="4" w:space="0" w:color="auto"/>
            </w:tcBorders>
          </w:tcPr>
          <w:p w14:paraId="0C323BFF" w14:textId="77777777" w:rsidR="006F1A02" w:rsidRPr="0078679C" w:rsidRDefault="006F1A02" w:rsidP="006F1A02">
            <w:pPr>
              <w:spacing w:line="240" w:lineRule="auto"/>
              <w:jc w:val="center"/>
              <w:rPr>
                <w:rFonts w:ascii="Garamond" w:hAnsi="Garamond"/>
                <w:sz w:val="26"/>
                <w:szCs w:val="26"/>
                <w:lang w:eastAsia="it-IT"/>
              </w:rPr>
            </w:pPr>
          </w:p>
        </w:tc>
      </w:tr>
      <w:tr w:rsidR="00F86C32" w:rsidRPr="0078679C" w14:paraId="30FD4E2B" w14:textId="77777777" w:rsidTr="00032C7F">
        <w:trPr>
          <w:gridAfter w:val="1"/>
          <w:wAfter w:w="43" w:type="pct"/>
          <w:trHeight w:val="20"/>
          <w:jc w:val="center"/>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tcPr>
          <w:p w14:paraId="00FC56E3" w14:textId="77777777" w:rsidR="00543CF4" w:rsidRPr="0078679C" w:rsidRDefault="00543CF4" w:rsidP="003226E6">
            <w:pPr>
              <w:spacing w:line="240" w:lineRule="auto"/>
              <w:jc w:val="right"/>
              <w:rPr>
                <w:rFonts w:ascii="Garamond" w:hAnsi="Garamond"/>
                <w:b/>
                <w:sz w:val="26"/>
                <w:szCs w:val="26"/>
                <w:lang w:eastAsia="it-IT"/>
              </w:rPr>
            </w:pP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DF9AF" w14:textId="6E5520B1" w:rsidR="00543CF4" w:rsidRPr="0078679C" w:rsidRDefault="00543CF4" w:rsidP="003226E6">
            <w:pPr>
              <w:spacing w:line="240" w:lineRule="auto"/>
              <w:jc w:val="right"/>
              <w:rPr>
                <w:rFonts w:ascii="Garamond" w:hAnsi="Garamond"/>
                <w:b/>
                <w:bCs/>
                <w:sz w:val="26"/>
                <w:szCs w:val="26"/>
                <w:lang w:eastAsia="it-IT"/>
              </w:rPr>
            </w:pPr>
            <w:r w:rsidRPr="0078679C">
              <w:rPr>
                <w:rFonts w:ascii="Garamond" w:hAnsi="Garamond"/>
                <w:b/>
                <w:bCs/>
                <w:sz w:val="26"/>
                <w:szCs w:val="26"/>
                <w:lang w:eastAsia="it-IT"/>
              </w:rPr>
              <w:t xml:space="preserve">TOTALE MASSIMO: </w:t>
            </w:r>
            <w:r w:rsidR="00032C7F" w:rsidRPr="0078679C">
              <w:rPr>
                <w:rFonts w:ascii="Garamond" w:hAnsi="Garamond"/>
                <w:b/>
                <w:bCs/>
                <w:sz w:val="26"/>
                <w:szCs w:val="26"/>
                <w:lang w:eastAsia="it-IT"/>
              </w:rPr>
              <w:t>5</w:t>
            </w:r>
            <w:r w:rsidRPr="0078679C">
              <w:rPr>
                <w:rFonts w:ascii="Garamond" w:hAnsi="Garamond"/>
                <w:b/>
                <w:bCs/>
                <w:sz w:val="26"/>
                <w:szCs w:val="26"/>
                <w:lang w:eastAsia="it-IT"/>
              </w:rPr>
              <w:t>5</w:t>
            </w:r>
          </w:p>
        </w:tc>
        <w:tc>
          <w:tcPr>
            <w:tcW w:w="984" w:type="pct"/>
            <w:gridSpan w:val="3"/>
            <w:tcBorders>
              <w:top w:val="single" w:sz="4" w:space="0" w:color="auto"/>
              <w:left w:val="single" w:sz="4" w:space="0" w:color="auto"/>
              <w:bottom w:val="single" w:sz="4" w:space="0" w:color="auto"/>
              <w:right w:val="single" w:sz="4" w:space="0" w:color="auto"/>
            </w:tcBorders>
          </w:tcPr>
          <w:p w14:paraId="2680A9C2" w14:textId="77777777" w:rsidR="00543CF4" w:rsidRPr="0078679C" w:rsidRDefault="00543CF4" w:rsidP="003226E6">
            <w:pPr>
              <w:spacing w:line="240" w:lineRule="auto"/>
              <w:jc w:val="right"/>
              <w:rPr>
                <w:rFonts w:ascii="Garamond" w:hAnsi="Garamond"/>
                <w:b/>
                <w:bCs/>
                <w:sz w:val="26"/>
                <w:szCs w:val="26"/>
                <w:lang w:eastAsia="it-IT"/>
              </w:rPr>
            </w:pPr>
          </w:p>
        </w:tc>
      </w:tr>
    </w:tbl>
    <w:p w14:paraId="66904C33" w14:textId="77777777" w:rsidR="00543CF4" w:rsidRPr="0078679C" w:rsidRDefault="00543CF4" w:rsidP="00543CF4">
      <w:pPr>
        <w:jc w:val="both"/>
        <w:rPr>
          <w:rFonts w:ascii="Garamond" w:hAnsi="Garamond"/>
          <w:i/>
          <w:sz w:val="24"/>
          <w:szCs w:val="24"/>
        </w:rPr>
      </w:pPr>
    </w:p>
    <w:p w14:paraId="397FA55F" w14:textId="4E8761B0" w:rsidR="00281A3D" w:rsidRPr="0078679C" w:rsidRDefault="00281A3D" w:rsidP="00281A3D">
      <w:pPr>
        <w:pStyle w:val="Paragrafoelenco"/>
        <w:numPr>
          <w:ilvl w:val="0"/>
          <w:numId w:val="10"/>
        </w:numPr>
        <w:ind w:left="426"/>
        <w:jc w:val="both"/>
        <w:rPr>
          <w:rFonts w:ascii="Garamond" w:hAnsi="Garamond"/>
          <w:b/>
          <w:bCs/>
          <w:sz w:val="24"/>
          <w:szCs w:val="24"/>
        </w:rPr>
      </w:pPr>
      <w:r w:rsidRPr="0078679C">
        <w:rPr>
          <w:rFonts w:ascii="Garamond" w:hAnsi="Garamond"/>
          <w:b/>
          <w:bCs/>
          <w:sz w:val="24"/>
          <w:szCs w:val="24"/>
        </w:rPr>
        <w:t xml:space="preserve">PROPOSTA DELL’OPERATORE ECONOMICO RELATIVAMENTE AI CRITERI OGGETTO DI VALUTAZIONE DISCREZIONALE: </w:t>
      </w:r>
    </w:p>
    <w:p w14:paraId="37EF2123" w14:textId="5480998D" w:rsidR="00507BC6" w:rsidRPr="0078679C" w:rsidRDefault="00281A3D" w:rsidP="00C13BDA">
      <w:pPr>
        <w:jc w:val="both"/>
        <w:rPr>
          <w:rFonts w:ascii="Garamond" w:hAnsi="Garamond"/>
          <w:i/>
          <w:sz w:val="24"/>
          <w:szCs w:val="24"/>
        </w:rPr>
      </w:pPr>
      <w:r w:rsidRPr="0078679C">
        <w:rPr>
          <w:rFonts w:ascii="Garamond" w:hAnsi="Garamond"/>
          <w:i/>
          <w:sz w:val="24"/>
          <w:szCs w:val="24"/>
        </w:rPr>
        <w:t xml:space="preserve">In questo paragrafo vengono </w:t>
      </w:r>
      <w:r w:rsidR="00905D7F" w:rsidRPr="0078679C">
        <w:rPr>
          <w:rFonts w:ascii="Garamond" w:hAnsi="Garamond"/>
          <w:i/>
          <w:sz w:val="24"/>
          <w:szCs w:val="24"/>
        </w:rPr>
        <w:t>inserite le caratteristiche che possono essere valutate dalla commissione in termini di criteri discrezionali</w:t>
      </w:r>
      <w:r w:rsidRPr="0078679C">
        <w:rPr>
          <w:rFonts w:ascii="Garamond" w:hAnsi="Garamond"/>
        </w:rPr>
        <w:t xml:space="preserve"> </w:t>
      </w:r>
      <w:r w:rsidRPr="0078679C">
        <w:rPr>
          <w:rFonts w:ascii="Garamond" w:hAnsi="Garamond"/>
          <w:i/>
          <w:sz w:val="24"/>
          <w:szCs w:val="24"/>
        </w:rPr>
        <w:t xml:space="preserve">specificate nella Tabella </w:t>
      </w:r>
      <w:r w:rsidR="00032C7F" w:rsidRPr="0078679C">
        <w:rPr>
          <w:rFonts w:ascii="Garamond" w:hAnsi="Garamond"/>
          <w:i/>
          <w:sz w:val="24"/>
          <w:szCs w:val="24"/>
        </w:rPr>
        <w:t>alla pagina 1</w:t>
      </w:r>
      <w:r w:rsidR="00F72DE1" w:rsidRPr="0078679C">
        <w:rPr>
          <w:rFonts w:ascii="Garamond" w:hAnsi="Garamond"/>
          <w:i/>
          <w:sz w:val="24"/>
          <w:szCs w:val="24"/>
        </w:rPr>
        <w:t>1</w:t>
      </w:r>
      <w:r w:rsidR="00032C7F" w:rsidRPr="0078679C">
        <w:rPr>
          <w:rFonts w:ascii="Garamond" w:hAnsi="Garamond"/>
          <w:i/>
          <w:sz w:val="24"/>
          <w:szCs w:val="24"/>
        </w:rPr>
        <w:t xml:space="preserve"> del capitolato</w:t>
      </w:r>
      <w:r w:rsidRPr="0078679C">
        <w:rPr>
          <w:rFonts w:ascii="Garamond" w:hAnsi="Garamond"/>
          <w:i/>
          <w:sz w:val="24"/>
          <w:szCs w:val="24"/>
        </w:rPr>
        <w:t>.</w:t>
      </w:r>
    </w:p>
    <w:p w14:paraId="77A5FC5E" w14:textId="27EA1A46" w:rsidR="00032C7F" w:rsidRPr="0078679C" w:rsidRDefault="00032C7F" w:rsidP="00C13BDA">
      <w:pPr>
        <w:jc w:val="both"/>
        <w:rPr>
          <w:rFonts w:ascii="Garamond" w:hAnsi="Garamond"/>
          <w:i/>
          <w:sz w:val="24"/>
          <w:szCs w:val="24"/>
        </w:rPr>
      </w:pPr>
      <w:r w:rsidRPr="0078679C">
        <w:rPr>
          <w:rFonts w:ascii="Garamond" w:hAnsi="Garamond"/>
          <w:i/>
          <w:sz w:val="24"/>
          <w:szCs w:val="24"/>
        </w:rPr>
        <w:t>V</w:t>
      </w:r>
      <w:r w:rsidR="004E144A" w:rsidRPr="0078679C">
        <w:rPr>
          <w:rFonts w:ascii="Garamond" w:hAnsi="Garamond"/>
          <w:i/>
          <w:sz w:val="24"/>
          <w:szCs w:val="24"/>
        </w:rPr>
        <w:t xml:space="preserve">anno riportate </w:t>
      </w:r>
      <w:r w:rsidRPr="0078679C">
        <w:rPr>
          <w:rFonts w:ascii="Garamond" w:hAnsi="Garamond"/>
          <w:i/>
          <w:sz w:val="24"/>
          <w:szCs w:val="24"/>
        </w:rPr>
        <w:t xml:space="preserve">le </w:t>
      </w:r>
      <w:r w:rsidR="004E144A" w:rsidRPr="0078679C">
        <w:rPr>
          <w:rFonts w:ascii="Garamond" w:hAnsi="Garamond"/>
          <w:i/>
          <w:sz w:val="24"/>
          <w:szCs w:val="24"/>
        </w:rPr>
        <w:t xml:space="preserve">opzioni migliorative rispetto ai requisiti </w:t>
      </w:r>
      <w:r w:rsidRPr="0078679C">
        <w:rPr>
          <w:rFonts w:ascii="Garamond" w:hAnsi="Garamond"/>
          <w:i/>
          <w:sz w:val="24"/>
          <w:szCs w:val="24"/>
        </w:rPr>
        <w:t>di seguito indicati:</w:t>
      </w:r>
    </w:p>
    <w:p w14:paraId="6272A1BA" w14:textId="62B33EA6" w:rsidR="00F72DE1" w:rsidRPr="0078679C" w:rsidRDefault="00F72DE1" w:rsidP="00032C7F">
      <w:pPr>
        <w:pStyle w:val="Paragrafoelenco"/>
        <w:numPr>
          <w:ilvl w:val="0"/>
          <w:numId w:val="13"/>
        </w:numPr>
        <w:jc w:val="both"/>
        <w:rPr>
          <w:rFonts w:ascii="Garamond" w:hAnsi="Garamond"/>
          <w:i/>
          <w:sz w:val="24"/>
          <w:szCs w:val="24"/>
        </w:rPr>
      </w:pPr>
      <w:r w:rsidRPr="0078679C">
        <w:rPr>
          <w:rFonts w:ascii="Garamond" w:hAnsi="Garamond"/>
          <w:i/>
          <w:sz w:val="24"/>
          <w:szCs w:val="24"/>
        </w:rPr>
        <w:t xml:space="preserve">Sistema di gestione integrato del contratto post-vendita gestibile via web; </w:t>
      </w:r>
    </w:p>
    <w:p w14:paraId="72ACED51" w14:textId="11775D98" w:rsidR="00032C7F" w:rsidRPr="0078679C" w:rsidRDefault="00032C7F" w:rsidP="00032C7F">
      <w:pPr>
        <w:pStyle w:val="Paragrafoelenco"/>
        <w:numPr>
          <w:ilvl w:val="0"/>
          <w:numId w:val="13"/>
        </w:numPr>
        <w:jc w:val="both"/>
        <w:rPr>
          <w:rFonts w:ascii="Garamond" w:hAnsi="Garamond"/>
          <w:i/>
          <w:sz w:val="24"/>
          <w:szCs w:val="24"/>
        </w:rPr>
      </w:pPr>
      <w:r w:rsidRPr="0078679C">
        <w:rPr>
          <w:rFonts w:ascii="Garamond" w:hAnsi="Garamond"/>
          <w:i/>
          <w:sz w:val="24"/>
          <w:szCs w:val="24"/>
        </w:rPr>
        <w:t>Training aggiuntivi rispetto a quanto previsto all’art. 2.2</w:t>
      </w:r>
      <w:r w:rsidR="00F72DE1" w:rsidRPr="0078679C">
        <w:rPr>
          <w:rFonts w:ascii="Garamond" w:hAnsi="Garamond"/>
          <w:i/>
          <w:sz w:val="24"/>
          <w:szCs w:val="24"/>
        </w:rPr>
        <w:t>;</w:t>
      </w:r>
    </w:p>
    <w:p w14:paraId="66F47AE1" w14:textId="7DF6053A" w:rsidR="00032C7F" w:rsidRPr="0078679C" w:rsidRDefault="00032C7F" w:rsidP="00032C7F">
      <w:pPr>
        <w:pStyle w:val="Paragrafoelenco"/>
        <w:numPr>
          <w:ilvl w:val="0"/>
          <w:numId w:val="13"/>
        </w:numPr>
        <w:jc w:val="both"/>
        <w:rPr>
          <w:rFonts w:ascii="Garamond" w:hAnsi="Garamond"/>
          <w:i/>
          <w:sz w:val="24"/>
          <w:szCs w:val="24"/>
        </w:rPr>
      </w:pPr>
      <w:r w:rsidRPr="0078679C">
        <w:rPr>
          <w:rFonts w:ascii="Garamond" w:hAnsi="Garamond"/>
          <w:i/>
          <w:sz w:val="24"/>
          <w:szCs w:val="24"/>
        </w:rPr>
        <w:t>Condizioni migliorative nella modalità di espletamento del servizio di assistenza tecnica sulle apparecchiature in caso di anomalie di funzionamento, con riferimento esplicito ai giorni di intervento, alle modalità ed alle tempistiche di intervento</w:t>
      </w:r>
      <w:r w:rsidR="00F72DE1" w:rsidRPr="0078679C">
        <w:rPr>
          <w:rFonts w:ascii="Garamond" w:hAnsi="Garamond"/>
          <w:i/>
          <w:sz w:val="24"/>
          <w:szCs w:val="24"/>
        </w:rPr>
        <w:t>.</w:t>
      </w:r>
    </w:p>
    <w:p w14:paraId="1049B150" w14:textId="77777777" w:rsidR="000C45C9" w:rsidRPr="0078679C" w:rsidRDefault="000C45C9" w:rsidP="00D83454">
      <w:pPr>
        <w:jc w:val="both"/>
        <w:rPr>
          <w:rFonts w:ascii="Garamond" w:hAnsi="Garamond"/>
          <w:sz w:val="24"/>
          <w:szCs w:val="24"/>
        </w:rPr>
      </w:pPr>
    </w:p>
    <w:p w14:paraId="61CE2429" w14:textId="17CBCF18" w:rsidR="00B35055" w:rsidRPr="0078679C" w:rsidRDefault="00B35055" w:rsidP="00B35055">
      <w:pPr>
        <w:ind w:left="567" w:hanging="567"/>
        <w:jc w:val="both"/>
        <w:rPr>
          <w:rFonts w:ascii="Garamond" w:hAnsi="Garamond"/>
          <w:b/>
          <w:bCs/>
          <w:iCs/>
          <w:sz w:val="24"/>
          <w:szCs w:val="24"/>
        </w:rPr>
      </w:pPr>
      <w:r w:rsidRPr="0078679C">
        <w:rPr>
          <w:rFonts w:ascii="Garamond" w:hAnsi="Garamond"/>
          <w:b/>
          <w:bCs/>
          <w:iCs/>
          <w:sz w:val="24"/>
          <w:szCs w:val="24"/>
        </w:rPr>
        <w:t>5)       RISERVATEZZA</w:t>
      </w:r>
    </w:p>
    <w:p w14:paraId="03F71B33" w14:textId="3C4E282A" w:rsidR="00B35055" w:rsidRPr="0078679C" w:rsidRDefault="00B35055" w:rsidP="00B35055">
      <w:pPr>
        <w:jc w:val="both"/>
        <w:rPr>
          <w:rFonts w:ascii="Garamond" w:hAnsi="Garamond"/>
          <w:i/>
          <w:sz w:val="24"/>
          <w:szCs w:val="24"/>
        </w:rPr>
      </w:pPr>
      <w:r w:rsidRPr="0078679C">
        <w:rPr>
          <w:rFonts w:ascii="Garamond" w:hAnsi="Garamond"/>
          <w:i/>
          <w:sz w:val="24"/>
          <w:szCs w:val="24"/>
        </w:rPr>
        <w:t>L’operatore economico allega una dichiarazione firmata contenente i dettagli dell’offerta coperti da riservatezza, argomentando in modo congruo le ragioni per le quali eventuali parti dell’offerta sono da segretare ex art, 35, comma 4, d.lgs. 31 marzo 2023, n. 36.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0BE7259D" w14:textId="1A9B5CD4" w:rsidR="008D228A" w:rsidRPr="0078679C" w:rsidRDefault="00B35055" w:rsidP="00B35055">
      <w:pPr>
        <w:jc w:val="both"/>
        <w:rPr>
          <w:rFonts w:ascii="Garamond" w:hAnsi="Garamond"/>
          <w:b/>
          <w:sz w:val="24"/>
          <w:szCs w:val="24"/>
        </w:rPr>
      </w:pPr>
      <w:r w:rsidRPr="0078679C">
        <w:rPr>
          <w:rFonts w:ascii="Garamond" w:hAnsi="Garamond"/>
          <w:b/>
          <w:sz w:val="24"/>
          <w:szCs w:val="24"/>
        </w:rPr>
        <w:t>6)        DICHIARAZIONI FINALI</w:t>
      </w:r>
    </w:p>
    <w:p w14:paraId="3D9AA4EB" w14:textId="77777777" w:rsidR="008D228A" w:rsidRPr="0078679C" w:rsidRDefault="008D228A" w:rsidP="00E35C92">
      <w:pPr>
        <w:jc w:val="both"/>
        <w:rPr>
          <w:rFonts w:ascii="Garamond" w:hAnsi="Garamond"/>
          <w:i/>
          <w:sz w:val="24"/>
          <w:szCs w:val="24"/>
        </w:rPr>
      </w:pPr>
      <w:r w:rsidRPr="0078679C">
        <w:rPr>
          <w:rFonts w:ascii="Garamond" w:hAnsi="Garamond"/>
          <w:i/>
          <w:sz w:val="24"/>
          <w:szCs w:val="24"/>
        </w:rPr>
        <w:t>Nella relazione devono essere presenti le seguenti dichiarazioni</w:t>
      </w:r>
    </w:p>
    <w:p w14:paraId="70B59DA4" w14:textId="77777777" w:rsidR="008D228A" w:rsidRPr="0078679C" w:rsidRDefault="008D228A" w:rsidP="00E35C92">
      <w:pPr>
        <w:jc w:val="both"/>
        <w:rPr>
          <w:rFonts w:ascii="Garamond" w:hAnsi="Garamond"/>
          <w:sz w:val="24"/>
          <w:szCs w:val="24"/>
        </w:rPr>
      </w:pPr>
    </w:p>
    <w:p w14:paraId="026D875B" w14:textId="1D59C253" w:rsidR="008D228A" w:rsidRPr="0078679C" w:rsidRDefault="008D228A" w:rsidP="008D228A">
      <w:pPr>
        <w:jc w:val="center"/>
        <w:rPr>
          <w:rFonts w:ascii="Garamond" w:hAnsi="Garamond"/>
          <w:b/>
          <w:bCs/>
          <w:sz w:val="24"/>
          <w:szCs w:val="24"/>
        </w:rPr>
      </w:pPr>
      <w:r w:rsidRPr="0078679C">
        <w:rPr>
          <w:rFonts w:ascii="Garamond" w:hAnsi="Garamond"/>
          <w:b/>
          <w:bCs/>
          <w:sz w:val="24"/>
          <w:szCs w:val="24"/>
        </w:rPr>
        <w:t>L’OPERATORE ECONOMICO DICHIARA:</w:t>
      </w:r>
    </w:p>
    <w:p w14:paraId="3EEE5B64" w14:textId="77777777" w:rsidR="008D228A" w:rsidRPr="0078679C" w:rsidRDefault="008D228A" w:rsidP="008D228A">
      <w:pPr>
        <w:pStyle w:val="Paragrafoelenco"/>
        <w:numPr>
          <w:ilvl w:val="0"/>
          <w:numId w:val="4"/>
        </w:numPr>
        <w:jc w:val="both"/>
        <w:rPr>
          <w:rFonts w:ascii="Garamond" w:hAnsi="Garamond"/>
          <w:sz w:val="24"/>
          <w:szCs w:val="24"/>
        </w:rPr>
      </w:pPr>
      <w:r w:rsidRPr="0078679C">
        <w:rPr>
          <w:rFonts w:ascii="Garamond" w:hAnsi="Garamond"/>
          <w:sz w:val="24"/>
          <w:szCs w:val="24"/>
        </w:rPr>
        <w:t>di accettare tutte le condizioni specificate nel disciplinare di gara e nel capitolato tecnico;</w:t>
      </w:r>
    </w:p>
    <w:p w14:paraId="5934E10C" w14:textId="77777777" w:rsidR="008D228A" w:rsidRPr="0078679C" w:rsidRDefault="008D228A" w:rsidP="008D228A">
      <w:pPr>
        <w:pStyle w:val="Paragrafoelenco"/>
        <w:numPr>
          <w:ilvl w:val="0"/>
          <w:numId w:val="4"/>
        </w:numPr>
        <w:jc w:val="both"/>
        <w:rPr>
          <w:rFonts w:ascii="Garamond" w:hAnsi="Garamond"/>
          <w:sz w:val="24"/>
          <w:szCs w:val="24"/>
        </w:rPr>
      </w:pPr>
      <w:r w:rsidRPr="0078679C">
        <w:rPr>
          <w:rFonts w:ascii="Garamond" w:hAnsi="Garamond"/>
          <w:sz w:val="24"/>
          <w:szCs w:val="24"/>
        </w:rPr>
        <w:t>che la presente offerta tecnica è irrevocabile ed impegnativa fino a 180 (centottanta) giorni dalla scadenza dei termini di presentazione;</w:t>
      </w:r>
    </w:p>
    <w:p w14:paraId="5CAA7268" w14:textId="77777777" w:rsidR="008D228A" w:rsidRPr="0078679C" w:rsidRDefault="008D228A" w:rsidP="008D228A">
      <w:pPr>
        <w:pStyle w:val="Paragrafoelenco"/>
        <w:numPr>
          <w:ilvl w:val="0"/>
          <w:numId w:val="4"/>
        </w:numPr>
        <w:jc w:val="both"/>
        <w:rPr>
          <w:rFonts w:ascii="Garamond" w:hAnsi="Garamond"/>
          <w:sz w:val="24"/>
          <w:szCs w:val="24"/>
        </w:rPr>
      </w:pPr>
      <w:r w:rsidRPr="0078679C">
        <w:rPr>
          <w:rFonts w:ascii="Garamond" w:hAnsi="Garamond"/>
          <w:sz w:val="24"/>
          <w:szCs w:val="24"/>
        </w:rPr>
        <w:t>di aver preso cognizione di tutte le circostanze generali e speciali che possano interessare la fornitura e che di tali circostanze ha tenuto conto nella formulazione della presente offerta.</w:t>
      </w:r>
    </w:p>
    <w:p w14:paraId="56BC0EB8" w14:textId="52F259EC" w:rsidR="008D228A" w:rsidRPr="0078679C" w:rsidRDefault="008D228A" w:rsidP="008D228A">
      <w:pPr>
        <w:rPr>
          <w:rFonts w:ascii="Garamond" w:hAnsi="Garamond"/>
          <w:sz w:val="24"/>
          <w:szCs w:val="24"/>
        </w:rPr>
      </w:pPr>
      <w:r w:rsidRPr="0078679C">
        <w:rPr>
          <w:rFonts w:ascii="Garamond" w:hAnsi="Garamond"/>
          <w:sz w:val="24"/>
          <w:szCs w:val="24"/>
        </w:rPr>
        <w:t xml:space="preserve">Data </w:t>
      </w:r>
      <w:r w:rsidRPr="0078679C">
        <w:rPr>
          <w:rFonts w:ascii="Garamond" w:hAnsi="Garamond"/>
          <w:sz w:val="24"/>
          <w:szCs w:val="24"/>
        </w:rPr>
        <w:tab/>
        <w:t>__</w:t>
      </w:r>
    </w:p>
    <w:p w14:paraId="078D9CC3" w14:textId="77777777" w:rsidR="008D228A" w:rsidRPr="0078679C" w:rsidRDefault="008D228A" w:rsidP="008D228A">
      <w:pPr>
        <w:rPr>
          <w:rFonts w:ascii="Garamond" w:hAnsi="Garamond"/>
          <w:sz w:val="24"/>
          <w:szCs w:val="24"/>
        </w:rPr>
      </w:pPr>
      <w:r w:rsidRPr="0078679C">
        <w:rPr>
          <w:rFonts w:ascii="Garamond" w:hAnsi="Garamond"/>
          <w:sz w:val="24"/>
          <w:szCs w:val="24"/>
        </w:rPr>
        <w:lastRenderedPageBreak/>
        <w:t>Timbro e firma leggibile</w:t>
      </w:r>
      <w:r w:rsidRPr="0078679C">
        <w:rPr>
          <w:rStyle w:val="Rimandonotaapidipagina"/>
          <w:rFonts w:ascii="Garamond" w:hAnsi="Garamond"/>
          <w:sz w:val="24"/>
          <w:szCs w:val="24"/>
        </w:rPr>
        <w:footnoteReference w:id="1"/>
      </w:r>
      <w:r w:rsidRPr="0078679C">
        <w:rPr>
          <w:rFonts w:ascii="Garamond" w:hAnsi="Garamond"/>
          <w:sz w:val="24"/>
          <w:szCs w:val="24"/>
        </w:rPr>
        <w:t xml:space="preserve"> _______</w:t>
      </w:r>
    </w:p>
    <w:p w14:paraId="5EC3983D" w14:textId="77777777" w:rsidR="008D228A" w:rsidRPr="0078679C" w:rsidRDefault="008D228A" w:rsidP="008D228A">
      <w:pPr>
        <w:rPr>
          <w:rFonts w:ascii="Garamond" w:hAnsi="Garamond"/>
          <w:sz w:val="24"/>
          <w:szCs w:val="24"/>
        </w:rPr>
      </w:pPr>
    </w:p>
    <w:p w14:paraId="70038794" w14:textId="36709351" w:rsidR="008D228A" w:rsidRPr="0078679C" w:rsidRDefault="008D228A" w:rsidP="008D228A">
      <w:pPr>
        <w:rPr>
          <w:rFonts w:ascii="Garamond" w:hAnsi="Garamond"/>
          <w:b/>
          <w:bCs/>
          <w:sz w:val="24"/>
          <w:szCs w:val="24"/>
        </w:rPr>
      </w:pPr>
      <w:r w:rsidRPr="0078679C">
        <w:rPr>
          <w:rFonts w:ascii="Garamond" w:hAnsi="Garamond"/>
          <w:b/>
          <w:bCs/>
          <w:sz w:val="24"/>
          <w:szCs w:val="24"/>
        </w:rPr>
        <w:t>oppure</w:t>
      </w:r>
    </w:p>
    <w:p w14:paraId="59BB1BB5" w14:textId="5331EEEB" w:rsidR="008D228A" w:rsidRPr="0078679C" w:rsidRDefault="008D228A" w:rsidP="00D83454">
      <w:pPr>
        <w:jc w:val="both"/>
        <w:rPr>
          <w:rFonts w:ascii="Garamond" w:hAnsi="Garamond"/>
          <w:color w:val="FF0000"/>
          <w:sz w:val="24"/>
          <w:szCs w:val="24"/>
        </w:rPr>
      </w:pPr>
      <w:r w:rsidRPr="0078679C">
        <w:rPr>
          <w:rFonts w:ascii="Garamond" w:hAnsi="Garamond"/>
          <w:sz w:val="24"/>
          <w:szCs w:val="24"/>
        </w:rPr>
        <w:t>Firmato digitalmente</w:t>
      </w:r>
    </w:p>
    <w:sectPr w:rsidR="008D228A" w:rsidRPr="007867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531C" w14:textId="77777777" w:rsidR="00254FE4" w:rsidRDefault="00254FE4" w:rsidP="00B72E2C">
      <w:pPr>
        <w:spacing w:after="0" w:line="240" w:lineRule="auto"/>
      </w:pPr>
      <w:r>
        <w:separator/>
      </w:r>
    </w:p>
  </w:endnote>
  <w:endnote w:type="continuationSeparator" w:id="0">
    <w:p w14:paraId="37B93DAF" w14:textId="77777777" w:rsidR="00254FE4" w:rsidRDefault="00254FE4" w:rsidP="00B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C211" w14:textId="77777777" w:rsidR="00254FE4" w:rsidRDefault="00254FE4" w:rsidP="00B72E2C">
      <w:pPr>
        <w:spacing w:after="0" w:line="240" w:lineRule="auto"/>
      </w:pPr>
      <w:r>
        <w:separator/>
      </w:r>
    </w:p>
  </w:footnote>
  <w:footnote w:type="continuationSeparator" w:id="0">
    <w:p w14:paraId="56CFCF35" w14:textId="77777777" w:rsidR="00254FE4" w:rsidRDefault="00254FE4" w:rsidP="00B72E2C">
      <w:pPr>
        <w:spacing w:after="0" w:line="240" w:lineRule="auto"/>
      </w:pPr>
      <w:r>
        <w:continuationSeparator/>
      </w:r>
    </w:p>
  </w:footnote>
  <w:footnote w:id="1">
    <w:p w14:paraId="4DF37205" w14:textId="77777777" w:rsidR="008D228A" w:rsidRPr="00F1125D" w:rsidRDefault="008D228A" w:rsidP="008D228A">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F6A0E73" w14:textId="77777777" w:rsidR="008D228A" w:rsidRPr="00F1125D" w:rsidRDefault="008D228A" w:rsidP="008D228A">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A4FE4FDC"/>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9566983">
    <w:abstractNumId w:val="11"/>
  </w:num>
  <w:num w:numId="2" w16cid:durableId="234820752">
    <w:abstractNumId w:val="5"/>
  </w:num>
  <w:num w:numId="3" w16cid:durableId="1615793065">
    <w:abstractNumId w:val="3"/>
  </w:num>
  <w:num w:numId="4" w16cid:durableId="629240430">
    <w:abstractNumId w:val="8"/>
  </w:num>
  <w:num w:numId="5" w16cid:durableId="1931422600">
    <w:abstractNumId w:val="0"/>
  </w:num>
  <w:num w:numId="6" w16cid:durableId="1183015548">
    <w:abstractNumId w:val="2"/>
  </w:num>
  <w:num w:numId="7" w16cid:durableId="112603419">
    <w:abstractNumId w:val="7"/>
  </w:num>
  <w:num w:numId="8" w16cid:durableId="1518733447">
    <w:abstractNumId w:val="6"/>
  </w:num>
  <w:num w:numId="9" w16cid:durableId="499463206">
    <w:abstractNumId w:val="9"/>
  </w:num>
  <w:num w:numId="10" w16cid:durableId="1436972781">
    <w:abstractNumId w:val="1"/>
  </w:num>
  <w:num w:numId="11" w16cid:durableId="1439374669">
    <w:abstractNumId w:val="10"/>
  </w:num>
  <w:num w:numId="12" w16cid:durableId="1689595577">
    <w:abstractNumId w:val="4"/>
  </w:num>
  <w:num w:numId="13" w16cid:durableId="349530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12D89"/>
    <w:rsid w:val="00015CA7"/>
    <w:rsid w:val="00032C7F"/>
    <w:rsid w:val="00054FD4"/>
    <w:rsid w:val="000635C8"/>
    <w:rsid w:val="00067C8A"/>
    <w:rsid w:val="000C45C9"/>
    <w:rsid w:val="000F08F5"/>
    <w:rsid w:val="00132389"/>
    <w:rsid w:val="001E79B5"/>
    <w:rsid w:val="00223667"/>
    <w:rsid w:val="002258A0"/>
    <w:rsid w:val="00254FE4"/>
    <w:rsid w:val="00281A3D"/>
    <w:rsid w:val="002C2CE0"/>
    <w:rsid w:val="002D147C"/>
    <w:rsid w:val="00304432"/>
    <w:rsid w:val="00312581"/>
    <w:rsid w:val="00314366"/>
    <w:rsid w:val="003B7B0E"/>
    <w:rsid w:val="00401B1A"/>
    <w:rsid w:val="00402B93"/>
    <w:rsid w:val="0047610D"/>
    <w:rsid w:val="00487000"/>
    <w:rsid w:val="00494130"/>
    <w:rsid w:val="004A7786"/>
    <w:rsid w:val="004D0409"/>
    <w:rsid w:val="004E144A"/>
    <w:rsid w:val="005007CE"/>
    <w:rsid w:val="00507BC6"/>
    <w:rsid w:val="00520A70"/>
    <w:rsid w:val="0052448F"/>
    <w:rsid w:val="0053094B"/>
    <w:rsid w:val="00543CF4"/>
    <w:rsid w:val="005D1D60"/>
    <w:rsid w:val="005E116E"/>
    <w:rsid w:val="00602058"/>
    <w:rsid w:val="00623E6E"/>
    <w:rsid w:val="00662DC1"/>
    <w:rsid w:val="0067573E"/>
    <w:rsid w:val="00687917"/>
    <w:rsid w:val="006F1A02"/>
    <w:rsid w:val="006F1E08"/>
    <w:rsid w:val="00774558"/>
    <w:rsid w:val="0078679C"/>
    <w:rsid w:val="007D049E"/>
    <w:rsid w:val="007D735B"/>
    <w:rsid w:val="007E65EB"/>
    <w:rsid w:val="007F3715"/>
    <w:rsid w:val="008D228A"/>
    <w:rsid w:val="00905D7F"/>
    <w:rsid w:val="00983066"/>
    <w:rsid w:val="00A200B0"/>
    <w:rsid w:val="00AD67D5"/>
    <w:rsid w:val="00B35055"/>
    <w:rsid w:val="00B57530"/>
    <w:rsid w:val="00B72E2C"/>
    <w:rsid w:val="00BF33CC"/>
    <w:rsid w:val="00C03188"/>
    <w:rsid w:val="00C04EC1"/>
    <w:rsid w:val="00C13BDA"/>
    <w:rsid w:val="00C5581E"/>
    <w:rsid w:val="00CB1595"/>
    <w:rsid w:val="00CD008C"/>
    <w:rsid w:val="00CF1745"/>
    <w:rsid w:val="00D5417E"/>
    <w:rsid w:val="00D83454"/>
    <w:rsid w:val="00DA357E"/>
    <w:rsid w:val="00E07743"/>
    <w:rsid w:val="00E1655E"/>
    <w:rsid w:val="00E35C92"/>
    <w:rsid w:val="00EA2144"/>
    <w:rsid w:val="00EA6B1D"/>
    <w:rsid w:val="00EB12CA"/>
    <w:rsid w:val="00F1125D"/>
    <w:rsid w:val="00F6367D"/>
    <w:rsid w:val="00F72DE1"/>
    <w:rsid w:val="00F86C32"/>
    <w:rsid w:val="00F87DBF"/>
    <w:rsid w:val="00F9560E"/>
    <w:rsid w:val="00F97C1B"/>
    <w:rsid w:val="00FB05B1"/>
    <w:rsid w:val="00FB4F5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B28"/>
  <w15:docId w15:val="{05C0C34D-BD64-403C-9205-57E3726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3EAB-11DF-47AC-8CBB-E099F1EF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1284</Words>
  <Characters>7322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CANNIZZARO GIULIA</cp:lastModifiedBy>
  <cp:revision>7</cp:revision>
  <cp:lastPrinted>2023-12-19T10:28:00Z</cp:lastPrinted>
  <dcterms:created xsi:type="dcterms:W3CDTF">2024-03-08T10:55:00Z</dcterms:created>
  <dcterms:modified xsi:type="dcterms:W3CDTF">2024-04-10T10:20:00Z</dcterms:modified>
</cp:coreProperties>
</file>